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20" w:rsidRDefault="00795D37" w:rsidP="001F7F20">
      <w:pPr>
        <w:pStyle w:val="ad"/>
        <w:jc w:val="left"/>
        <w:rPr>
          <w:b w:val="0"/>
          <w:sz w:val="24"/>
          <w:szCs w:val="24"/>
        </w:rPr>
      </w:pPr>
      <w:r>
        <w:rPr>
          <w:sz w:val="24"/>
          <w:szCs w:val="24"/>
        </w:rPr>
        <w:t xml:space="preserve">                                       </w:t>
      </w:r>
      <w:r w:rsidR="001F7F20" w:rsidRPr="007F52BC">
        <w:rPr>
          <w:sz w:val="24"/>
          <w:szCs w:val="24"/>
        </w:rPr>
        <w:t xml:space="preserve">ИНФОРМАЦИОННОЕ СООБЩЕНИЕ О ПРОДАЖЕ </w:t>
      </w:r>
    </w:p>
    <w:p w:rsidR="001F7F20" w:rsidRPr="0093113A" w:rsidRDefault="001F7F20" w:rsidP="001F7F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203 ПО УЛ. ЛОМОНОСОВА, Д. 98</w:t>
      </w:r>
    </w:p>
    <w:p w:rsidR="00CA3126" w:rsidRPr="00CA3126" w:rsidRDefault="00CA3126" w:rsidP="001F7F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F7F2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1F7F20" w:rsidRPr="000304A2">
        <w:rPr>
          <w:rFonts w:ascii="Times New Roman" w:hAnsi="Times New Roman"/>
          <w:sz w:val="24"/>
          <w:szCs w:val="24"/>
        </w:rPr>
        <w:t xml:space="preserve"> администрации города Красноярска от </w:t>
      </w:r>
      <w:r w:rsidR="001F7F20">
        <w:rPr>
          <w:rFonts w:ascii="Times New Roman" w:hAnsi="Times New Roman"/>
          <w:sz w:val="24"/>
          <w:szCs w:val="24"/>
        </w:rPr>
        <w:t>13.08.2020</w:t>
      </w:r>
      <w:r w:rsidR="001F7F20" w:rsidRPr="000304A2">
        <w:rPr>
          <w:rFonts w:ascii="Times New Roman" w:hAnsi="Times New Roman"/>
          <w:sz w:val="24"/>
          <w:szCs w:val="24"/>
        </w:rPr>
        <w:t xml:space="preserve">  № </w:t>
      </w:r>
      <w:r w:rsidR="001F7F20">
        <w:rPr>
          <w:rFonts w:ascii="Times New Roman" w:hAnsi="Times New Roman"/>
          <w:sz w:val="24"/>
          <w:szCs w:val="24"/>
        </w:rPr>
        <w:t>616</w:t>
      </w:r>
      <w:r w:rsidR="001F7F20" w:rsidRPr="000304A2">
        <w:rPr>
          <w:rFonts w:ascii="Times New Roman" w:hAnsi="Times New Roman"/>
          <w:sz w:val="24"/>
          <w:szCs w:val="24"/>
        </w:rPr>
        <w:t xml:space="preserve"> «О приватизации нежилого помещения</w:t>
      </w:r>
      <w:r w:rsidR="001F7F20">
        <w:rPr>
          <w:rFonts w:ascii="Times New Roman" w:hAnsi="Times New Roman"/>
          <w:sz w:val="24"/>
          <w:szCs w:val="24"/>
        </w:rPr>
        <w:t xml:space="preserve"> № 203 по ул. Ломоносова, д. 98</w:t>
      </w:r>
      <w:r w:rsidR="00166F86"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F7F20"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203 </w:t>
      </w:r>
      <w:r w:rsidRPr="00627EAD">
        <w:rPr>
          <w:rFonts w:ascii="Times New Roman" w:hAnsi="Times New Roman"/>
          <w:sz w:val="24"/>
          <w:szCs w:val="24"/>
        </w:rPr>
        <w:t xml:space="preserve">общей площадью </w:t>
      </w:r>
      <w:r>
        <w:rPr>
          <w:rFonts w:ascii="Times New Roman" w:hAnsi="Times New Roman"/>
          <w:sz w:val="24"/>
          <w:szCs w:val="24"/>
        </w:rPr>
        <w:t>490,50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0200202:1396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Ломоносова, д. 98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w:t>
      </w:r>
      <w:r w:rsidR="00665B83">
        <w:rPr>
          <w:rFonts w:ascii="Times New Roman" w:hAnsi="Times New Roman"/>
          <w:sz w:val="24"/>
          <w:szCs w:val="24"/>
        </w:rPr>
        <w:t xml:space="preserve">30.10.2020,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F7F20">
        <w:t>3 654 700</w:t>
      </w:r>
      <w:r w:rsidR="001F7F20" w:rsidRPr="00D421CA">
        <w:t xml:space="preserve"> (</w:t>
      </w:r>
      <w:r w:rsidR="001F7F20">
        <w:t>три миллиона шестьсот пятьдесят четыре тысячи семьсот</w:t>
      </w:r>
      <w:r w:rsidR="001F7F2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F7F20">
        <w:t>1 827 350</w:t>
      </w:r>
      <w:r>
        <w:t xml:space="preserve"> (</w:t>
      </w:r>
      <w:r w:rsidR="001F7F20">
        <w:t>один миллион восемьсот двадцать семь тысяч триста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F7F20">
        <w:t>365 470</w:t>
      </w:r>
      <w:r>
        <w:t xml:space="preserve"> (</w:t>
      </w:r>
      <w:r w:rsidR="001F7F20">
        <w:t>триста шестьдесят пять тысяч четыреста 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F7F20">
        <w:t>182 735</w:t>
      </w:r>
      <w:r w:rsidR="00166F86" w:rsidRPr="007A6A43">
        <w:t xml:space="preserve"> (</w:t>
      </w:r>
      <w:r w:rsidR="001F7F20">
        <w:t>сто восемьдесят две тысячи семьсот тридцать пять</w:t>
      </w:r>
      <w:r w:rsidR="00166F86"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F7F20">
        <w:t>730 940</w:t>
      </w:r>
      <w:r w:rsidR="001F7F20" w:rsidRPr="00D421CA">
        <w:t xml:space="preserve"> (</w:t>
      </w:r>
      <w:r w:rsidR="001F7F20">
        <w:t>семьсот тридцать тысяч девятьсот сорок</w:t>
      </w:r>
      <w:r w:rsidR="001F7F20" w:rsidRPr="00D421CA">
        <w:t>)</w:t>
      </w:r>
      <w:r w:rsidR="001F7F2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665B83">
        <w:rPr>
          <w:rFonts w:ascii="Times New Roman" w:hAnsi="Times New Roman"/>
          <w:bCs/>
          <w:sz w:val="24"/>
          <w:szCs w:val="24"/>
          <w:lang w:eastAsia="ru-RU"/>
        </w:rPr>
        <w:t xml:space="preserve"> время начала приема заявок – 31</w:t>
      </w:r>
      <w:r w:rsidR="002F0F10">
        <w:rPr>
          <w:rFonts w:ascii="Times New Roman" w:hAnsi="Times New Roman"/>
          <w:bCs/>
          <w:sz w:val="24"/>
          <w:szCs w:val="24"/>
          <w:lang w:eastAsia="ru-RU"/>
        </w:rPr>
        <w:t>.</w:t>
      </w:r>
      <w:r w:rsidR="00665B83">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65B83">
        <w:rPr>
          <w:rFonts w:ascii="Times New Roman" w:hAnsi="Times New Roman"/>
          <w:bCs/>
          <w:sz w:val="24"/>
          <w:szCs w:val="24"/>
          <w:lang w:eastAsia="ru-RU"/>
        </w:rPr>
        <w:t>27</w:t>
      </w:r>
      <w:r w:rsidR="00A746A2">
        <w:rPr>
          <w:rFonts w:ascii="Times New Roman" w:hAnsi="Times New Roman"/>
          <w:bCs/>
          <w:sz w:val="24"/>
          <w:szCs w:val="24"/>
          <w:lang w:eastAsia="ru-RU"/>
        </w:rPr>
        <w:t>.</w:t>
      </w:r>
      <w:r w:rsidR="00166F86">
        <w:rPr>
          <w:rFonts w:ascii="Times New Roman" w:hAnsi="Times New Roman"/>
          <w:bCs/>
          <w:sz w:val="24"/>
          <w:szCs w:val="24"/>
          <w:lang w:eastAsia="ru-RU"/>
        </w:rPr>
        <w:t>1</w:t>
      </w:r>
      <w:r w:rsidR="00665B83">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665B83">
        <w:rPr>
          <w:rFonts w:ascii="Times New Roman" w:hAnsi="Times New Roman"/>
          <w:bCs/>
          <w:sz w:val="24"/>
          <w:szCs w:val="24"/>
          <w:lang w:eastAsia="ru-RU"/>
        </w:rPr>
        <w:t>01.</w:t>
      </w:r>
      <w:r w:rsidR="00166F86">
        <w:rPr>
          <w:rFonts w:ascii="Times New Roman" w:hAnsi="Times New Roman"/>
          <w:bCs/>
          <w:sz w:val="24"/>
          <w:szCs w:val="24"/>
          <w:lang w:eastAsia="ru-RU"/>
        </w:rPr>
        <w:t>1</w:t>
      </w:r>
      <w:r w:rsidR="00665B83">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665B83">
        <w:rPr>
          <w:rFonts w:ascii="Times New Roman" w:hAnsi="Times New Roman"/>
          <w:bCs/>
          <w:sz w:val="24"/>
          <w:szCs w:val="24"/>
          <w:lang w:eastAsia="ru-RU"/>
        </w:rPr>
        <w:t xml:space="preserve"> – 03</w:t>
      </w:r>
      <w:r>
        <w:rPr>
          <w:rFonts w:ascii="Times New Roman" w:hAnsi="Times New Roman"/>
          <w:bCs/>
          <w:sz w:val="24"/>
          <w:szCs w:val="24"/>
          <w:lang w:eastAsia="ru-RU"/>
        </w:rPr>
        <w:t>.</w:t>
      </w:r>
      <w:r w:rsidR="00166F86">
        <w:rPr>
          <w:rFonts w:ascii="Times New Roman" w:hAnsi="Times New Roman"/>
          <w:bCs/>
          <w:sz w:val="24"/>
          <w:szCs w:val="24"/>
          <w:lang w:eastAsia="ru-RU"/>
        </w:rPr>
        <w:t>1</w:t>
      </w:r>
      <w:r w:rsidR="00665B83">
        <w:rPr>
          <w:rFonts w:ascii="Times New Roman" w:hAnsi="Times New Roman"/>
          <w:bCs/>
          <w:sz w:val="24"/>
          <w:szCs w:val="24"/>
          <w:lang w:eastAsia="ru-RU"/>
        </w:rPr>
        <w:t>2</w:t>
      </w:r>
      <w:r>
        <w:rPr>
          <w:rFonts w:ascii="Times New Roman" w:hAnsi="Times New Roman"/>
          <w:bCs/>
          <w:sz w:val="24"/>
          <w:szCs w:val="24"/>
          <w:lang w:eastAsia="ru-RU"/>
        </w:rPr>
        <w:t xml:space="preserve">.2020 в </w:t>
      </w:r>
      <w:r w:rsidR="001F7F20">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65B83">
        <w:rPr>
          <w:sz w:val="24"/>
        </w:rPr>
        <w:t>31</w:t>
      </w:r>
      <w:r w:rsidR="00101107">
        <w:rPr>
          <w:sz w:val="24"/>
        </w:rPr>
        <w:t>.</w:t>
      </w:r>
      <w:r w:rsidR="00665B83">
        <w:rPr>
          <w:sz w:val="24"/>
        </w:rPr>
        <w:t>10</w:t>
      </w:r>
      <w:r w:rsidR="0008334F">
        <w:rPr>
          <w:sz w:val="24"/>
        </w:rPr>
        <w:t xml:space="preserve">.2020 по </w:t>
      </w:r>
      <w:r w:rsidR="006D4BC4">
        <w:rPr>
          <w:sz w:val="24"/>
        </w:rPr>
        <w:t>2</w:t>
      </w:r>
      <w:r w:rsidR="00665B83">
        <w:rPr>
          <w:sz w:val="24"/>
        </w:rPr>
        <w:t>7</w:t>
      </w:r>
      <w:r>
        <w:rPr>
          <w:sz w:val="24"/>
        </w:rPr>
        <w:t>.</w:t>
      </w:r>
      <w:r w:rsidR="00166F86">
        <w:rPr>
          <w:sz w:val="24"/>
        </w:rPr>
        <w:t>1</w:t>
      </w:r>
      <w:r w:rsidR="00665B83">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 </w:t>
      </w:r>
      <w:r w:rsidR="001F7F20">
        <w:rPr>
          <w:sz w:val="24"/>
        </w:rPr>
        <w:t>203</w:t>
      </w:r>
      <w:r>
        <w:rPr>
          <w:sz w:val="24"/>
        </w:rPr>
        <w:t xml:space="preserve"> </w:t>
      </w:r>
      <w:r w:rsidR="0008334F">
        <w:rPr>
          <w:sz w:val="24"/>
        </w:rPr>
        <w:t xml:space="preserve">по </w:t>
      </w:r>
      <w:r w:rsidR="00327494">
        <w:rPr>
          <w:sz w:val="24"/>
        </w:rPr>
        <w:t xml:space="preserve">ул. </w:t>
      </w:r>
      <w:r w:rsidR="001F7F20">
        <w:rPr>
          <w:sz w:val="24"/>
        </w:rPr>
        <w:t>Ломоносова</w:t>
      </w:r>
      <w:r w:rsidR="00166F86">
        <w:rPr>
          <w:sz w:val="24"/>
        </w:rPr>
        <w:t xml:space="preserve">, д. </w:t>
      </w:r>
      <w:r w:rsidR="001F7F20">
        <w:rPr>
          <w:sz w:val="24"/>
        </w:rPr>
        <w:t>98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665B83" w:rsidP="005343E0">
      <w:pPr>
        <w:pStyle w:val="TextBasTxt"/>
        <w:spacing w:line="192" w:lineRule="auto"/>
        <w:ind w:firstLine="0"/>
        <w:jc w:val="left"/>
        <w:rPr>
          <w:sz w:val="16"/>
          <w:szCs w:val="16"/>
        </w:rPr>
      </w:pPr>
      <w:r>
        <w:rPr>
          <w:sz w:val="16"/>
          <w:szCs w:val="16"/>
        </w:rPr>
        <w:t>публикация 30</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65B8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1F7F2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B83"/>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C39F6-F7EB-4B34-A189-38C812B795C8}"/>
</file>

<file path=customXml/itemProps2.xml><?xml version="1.0" encoding="utf-8"?>
<ds:datastoreItem xmlns:ds="http://schemas.openxmlformats.org/officeDocument/2006/customXml" ds:itemID="{E6EB5974-4241-44B9-92F3-6B0EA1BEB4FD}"/>
</file>

<file path=customXml/itemProps3.xml><?xml version="1.0" encoding="utf-8"?>
<ds:datastoreItem xmlns:ds="http://schemas.openxmlformats.org/officeDocument/2006/customXml" ds:itemID="{C7E8385B-6785-48FA-8149-335DEDEEE4C2}"/>
</file>

<file path=customXml/itemProps4.xml><?xml version="1.0" encoding="utf-8"?>
<ds:datastoreItem xmlns:ds="http://schemas.openxmlformats.org/officeDocument/2006/customXml" ds:itemID="{7CB120DE-7BEF-414D-9937-0FB14F8CAE1C}"/>
</file>

<file path=docProps/app.xml><?xml version="1.0" encoding="utf-8"?>
<Properties xmlns="http://schemas.openxmlformats.org/officeDocument/2006/extended-properties" xmlns:vt="http://schemas.openxmlformats.org/officeDocument/2006/docPropsVTypes">
  <Template>Normal.dotm</Template>
  <TotalTime>1279</TotalTime>
  <Pages>14</Pages>
  <Words>6309</Words>
  <Characters>35966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