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320AD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870C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320AD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20AD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20ADD">
        <w:rPr>
          <w:sz w:val="28"/>
          <w:szCs w:val="28"/>
        </w:rPr>
        <w:t>18.07.2017</w:t>
      </w:r>
      <w:r w:rsidRPr="007F2A0B">
        <w:rPr>
          <w:sz w:val="28"/>
          <w:szCs w:val="28"/>
        </w:rPr>
        <w:t xml:space="preserve"> № </w:t>
      </w:r>
      <w:r w:rsidR="00320ADD">
        <w:rPr>
          <w:sz w:val="28"/>
          <w:szCs w:val="28"/>
        </w:rPr>
        <w:t>92-о</w:t>
      </w:r>
    </w:p>
    <w:p w:rsidR="00461F43" w:rsidRPr="007F2A0B" w:rsidRDefault="00461F43" w:rsidP="00320AD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20AD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320AD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0C03" w:rsidRPr="00266ACF" w:rsidRDefault="00520C03" w:rsidP="00320AD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320AD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20AD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20AD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20AD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20AD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320AD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520C03">
        <w:rPr>
          <w:rFonts w:cs="Times New Roman"/>
          <w:sz w:val="28"/>
          <w:szCs w:val="28"/>
        </w:rPr>
        <w:t>25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520C03">
        <w:rPr>
          <w:rFonts w:cs="Times New Roman"/>
          <w:sz w:val="28"/>
          <w:szCs w:val="28"/>
        </w:rPr>
        <w:t>266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520C03">
        <w:rPr>
          <w:rFonts w:cs="Times New Roman"/>
          <w:sz w:val="28"/>
          <w:szCs w:val="28"/>
        </w:rPr>
        <w:t>Дубровинского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520C03">
        <w:rPr>
          <w:rFonts w:cs="Times New Roman"/>
          <w:sz w:val="28"/>
          <w:szCs w:val="28"/>
        </w:rPr>
        <w:t>106</w:t>
      </w:r>
      <w:r w:rsidR="0041237A">
        <w:rPr>
          <w:rFonts w:cs="Times New Roman"/>
          <w:sz w:val="28"/>
          <w:szCs w:val="28"/>
        </w:rPr>
        <w:t xml:space="preserve">, пом. </w:t>
      </w:r>
      <w:r w:rsidR="00520C03">
        <w:rPr>
          <w:rFonts w:cs="Times New Roman"/>
          <w:sz w:val="28"/>
          <w:szCs w:val="28"/>
        </w:rPr>
        <w:t>337, 338, 344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320ADD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320ADD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320ADD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Default="00520C03" w:rsidP="00320ADD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Pr="00291393" w:rsidRDefault="00520C03" w:rsidP="00320ADD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осуществляется через нежилые помещения № 337, 338 расположенные на первом этаже.</w:t>
      </w:r>
      <w:r w:rsidRPr="00291393">
        <w:rPr>
          <w:sz w:val="28"/>
          <w:szCs w:val="28"/>
        </w:rPr>
        <w:t xml:space="preserve"> </w:t>
      </w:r>
    </w:p>
    <w:p w:rsidR="00520C03" w:rsidRPr="00766299" w:rsidRDefault="00520C03" w:rsidP="00320ADD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320AD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320AD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320AD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20AD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20ADD">
        <w:rPr>
          <w:rFonts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 xml:space="preserve"> </w:t>
      </w:r>
      <w:r w:rsidR="00320ADD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20AD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20AD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20AD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20AD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320AD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6 410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десять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320AD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320 500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320AD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20AD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20AD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 282 000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320AD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20ADD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ADD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20ADD">
        <w:rPr>
          <w:rFonts w:ascii="Times New Roman" w:hAnsi="Times New Roman" w:cs="Times New Roman"/>
          <w:b w:val="0"/>
          <w:sz w:val="28"/>
          <w:szCs w:val="28"/>
        </w:rPr>
        <w:t>16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106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337, 338, 344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20AD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20AD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20AD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lastRenderedPageBreak/>
        <w:t xml:space="preserve">с </w:t>
      </w:r>
      <w:r w:rsidR="00320ADD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320ADD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20ADD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320ADD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20ADD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20AD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20AD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20ADD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20ADD">
        <w:rPr>
          <w:rFonts w:cs="Times New Roman"/>
          <w:bCs/>
          <w:sz w:val="28"/>
          <w:szCs w:val="28"/>
        </w:rPr>
        <w:t>22</w:t>
      </w:r>
      <w:r>
        <w:rPr>
          <w:rFonts w:cs="Times New Roman"/>
          <w:bCs/>
          <w:sz w:val="28"/>
          <w:szCs w:val="28"/>
        </w:rPr>
        <w:t xml:space="preserve"> </w:t>
      </w:r>
      <w:r w:rsidR="00320ADD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20AD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7B1C34" w:rsidRPr="007F2A0B" w:rsidRDefault="007B1C34" w:rsidP="00320AD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20AD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20AD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20ADD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320ADD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320ADD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320ADD">
        <w:rPr>
          <w:rFonts w:cs="Times New Roman"/>
          <w:bCs/>
          <w:sz w:val="28"/>
          <w:szCs w:val="28"/>
        </w:rPr>
        <w:t xml:space="preserve">августа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1D0CEB" w:rsidRPr="004E53A6" w:rsidRDefault="001D0CEB" w:rsidP="00320AD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местом регистрации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является государство или территория, включенные в утверждаемый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</w:t>
      </w:r>
      <w:r>
        <w:rPr>
          <w:sz w:val="28"/>
          <w:szCs w:val="28"/>
        </w:rPr>
        <w:lastRenderedPageBreak/>
        <w:t>отношении которых офшорной компанией или группой лиц, в которую входит офшорная компания, осуществляется контроль.</w:t>
      </w:r>
    </w:p>
    <w:p w:rsidR="001D0CEB" w:rsidRDefault="001D0CEB" w:rsidP="00320AD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Pr="007F2A0B" w:rsidRDefault="00105DCC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20AD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20AD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53B37" w:rsidRPr="007F2A0B" w:rsidRDefault="00A53B37" w:rsidP="00320AD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320ADD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E068FB">
        <w:rPr>
          <w:rFonts w:cs="Times New Roman"/>
          <w:sz w:val="28"/>
          <w:szCs w:val="28"/>
        </w:rPr>
        <w:t>назначенные на 22</w:t>
      </w:r>
      <w:r w:rsidRPr="005B5F97">
        <w:rPr>
          <w:rFonts w:cs="Times New Roman"/>
          <w:sz w:val="28"/>
          <w:szCs w:val="28"/>
        </w:rPr>
        <w:t>.02.201</w:t>
      </w:r>
      <w:r w:rsidR="0041237A">
        <w:rPr>
          <w:rFonts w:cs="Times New Roman"/>
          <w:sz w:val="28"/>
          <w:szCs w:val="28"/>
        </w:rPr>
        <w:t>7</w:t>
      </w:r>
      <w:r w:rsidR="00AF083F">
        <w:rPr>
          <w:rFonts w:cs="Times New Roman"/>
          <w:sz w:val="28"/>
          <w:szCs w:val="28"/>
        </w:rPr>
        <w:t>, 30.05.2017</w:t>
      </w:r>
      <w:r w:rsidR="001D0CEB">
        <w:rPr>
          <w:rFonts w:cs="Times New Roman"/>
          <w:sz w:val="28"/>
          <w:szCs w:val="28"/>
        </w:rPr>
        <w:t>, 30.06.2017</w:t>
      </w:r>
      <w:r w:rsidR="0041237A"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6D5C27" w:rsidRDefault="006D5C27" w:rsidP="00320AD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20AD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20AD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9F25AA" w:rsidRDefault="009F25AA" w:rsidP="00320AD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9F25AA" w:rsidRDefault="009F25AA" w:rsidP="00320AD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9F25AA" w:rsidRDefault="009F25AA" w:rsidP="00320AD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заместителя Главы города -</w:t>
      </w:r>
    </w:p>
    <w:p w:rsidR="009F25AA" w:rsidRDefault="009F25AA" w:rsidP="00320AD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руководителя департамента</w:t>
      </w:r>
    </w:p>
    <w:p w:rsidR="009F25AA" w:rsidRDefault="009F25AA" w:rsidP="00320AD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имущества</w:t>
      </w:r>
    </w:p>
    <w:p w:rsidR="009F25AA" w:rsidRDefault="009F25AA" w:rsidP="00320ADD">
      <w:pPr>
        <w:pStyle w:val="a5"/>
        <w:suppressAutoHyphens/>
        <w:spacing w:after="0" w:line="192" w:lineRule="auto"/>
      </w:pPr>
      <w:r>
        <w:rPr>
          <w:rFonts w:cs="Times New Roman"/>
          <w:sz w:val="28"/>
          <w:szCs w:val="28"/>
        </w:rPr>
        <w:t>и земельных отношений</w:t>
      </w:r>
      <w:r>
        <w:rPr>
          <w:rFonts w:cs="Times New Roman"/>
          <w:sz w:val="28"/>
          <w:szCs w:val="28"/>
        </w:rPr>
        <w:tab/>
        <w:t xml:space="preserve">                                                          М.М. Несанов</w:t>
      </w:r>
      <w:bookmarkStart w:id="0" w:name="_GoBack"/>
      <w:bookmarkEnd w:id="0"/>
    </w:p>
    <w:p w:rsidR="009434C3" w:rsidRPr="00E6233C" w:rsidRDefault="009434C3" w:rsidP="00320AD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20AD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20ADD">
      <w:pPr>
        <w:suppressAutoHyphens/>
        <w:jc w:val="right"/>
      </w:pPr>
    </w:p>
    <w:p w:rsidR="009434C3" w:rsidRPr="0040079F" w:rsidRDefault="009434C3" w:rsidP="00320AD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20AD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20AD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20AD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20AD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20AD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</w:p>
    <w:p w:rsidR="009434C3" w:rsidRDefault="009434C3" w:rsidP="00320A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20AD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20AD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20AD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20AD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20AD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20AD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0A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20AD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20ADD">
      <w:pPr>
        <w:suppressAutoHyphens/>
        <w:jc w:val="both"/>
        <w:rPr>
          <w:sz w:val="22"/>
          <w:szCs w:val="22"/>
        </w:rPr>
      </w:pPr>
    </w:p>
    <w:p w:rsidR="009434C3" w:rsidRDefault="009434C3" w:rsidP="00320AD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20AD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20AD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20AD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20AD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320AD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20AD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20AD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20AD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320AD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20AD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20AD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20AD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320AD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:rsidR="00A546F7" w:rsidRPr="00A546F7" w:rsidRDefault="00A546F7" w:rsidP="00320AD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0AD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20AD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0AD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20AD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20AD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20AD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20AD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20AD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20AD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20AD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320AD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20AD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20AD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20AD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20AD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20AD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320AD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320AD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20AD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320AD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20AD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20AD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320AD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320AD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20AD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20AD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20AD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20AD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320AD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320AD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320AD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320AD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320AD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20AD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20AD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20AD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320AD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20AD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20AD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20AD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20AD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20AD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20AD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20AD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20AD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0AD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320AD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20AD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320ADD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870CE">
      <w:headerReference w:type="default" r:id="rId10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421795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20ADD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D0CEB"/>
    <w:rsid w:val="002039AB"/>
    <w:rsid w:val="00211B09"/>
    <w:rsid w:val="00225A59"/>
    <w:rsid w:val="00233BC8"/>
    <w:rsid w:val="002475CC"/>
    <w:rsid w:val="00285938"/>
    <w:rsid w:val="002A47AF"/>
    <w:rsid w:val="002F4BF8"/>
    <w:rsid w:val="00320ADD"/>
    <w:rsid w:val="0036652B"/>
    <w:rsid w:val="003F5369"/>
    <w:rsid w:val="0041237A"/>
    <w:rsid w:val="00421795"/>
    <w:rsid w:val="00461F43"/>
    <w:rsid w:val="00474685"/>
    <w:rsid w:val="00475B3B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5AA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76BE2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DF24CB"/>
    <w:rsid w:val="00E068FB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B82BFD-DC6B-41EC-92DB-5087B13C845B}"/>
</file>

<file path=customXml/itemProps2.xml><?xml version="1.0" encoding="utf-8"?>
<ds:datastoreItem xmlns:ds="http://schemas.openxmlformats.org/officeDocument/2006/customXml" ds:itemID="{A26C1FD7-A173-4096-9FA2-59DCFC071EE8}"/>
</file>

<file path=customXml/itemProps3.xml><?xml version="1.0" encoding="utf-8"?>
<ds:datastoreItem xmlns:ds="http://schemas.openxmlformats.org/officeDocument/2006/customXml" ds:itemID="{2497AC64-E325-4A74-9207-AE734EFA6129}"/>
</file>

<file path=customXml/itemProps4.xml><?xml version="1.0" encoding="utf-8"?>
<ds:datastoreItem xmlns:ds="http://schemas.openxmlformats.org/officeDocument/2006/customXml" ds:itemID="{533EA3BA-980D-42BF-AD66-96EBF9711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2017-07-19T07:35:00Z</dcterms:created>
  <dcterms:modified xsi:type="dcterms:W3CDTF">2017-07-19T08:35:00Z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