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40"/>
        <w:gridCol w:w="1654"/>
        <w:gridCol w:w="1438"/>
      </w:tblGrid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rPr>
                <w:b/>
                <w:bCs/>
              </w:rPr>
            </w:pPr>
            <w:r w:rsidRPr="007B05CF">
              <w:rPr>
                <w:b/>
                <w:bCs/>
              </w:rPr>
              <w:t>Наименование коммунального ресурса (поставщик), документ-основание</w:t>
            </w:r>
          </w:p>
        </w:tc>
        <w:tc>
          <w:tcPr>
            <w:tcW w:w="812" w:type="pct"/>
            <w:vAlign w:val="center"/>
            <w:hideMark/>
          </w:tcPr>
          <w:p w:rsidR="00A8491B" w:rsidRPr="007B05CF" w:rsidRDefault="00A8491B" w:rsidP="00A8491B">
            <w:pPr>
              <w:rPr>
                <w:b/>
                <w:bCs/>
              </w:rPr>
            </w:pPr>
            <w:r w:rsidRPr="007B05CF">
              <w:rPr>
                <w:b/>
                <w:bCs/>
              </w:rPr>
              <w:t>Единица измерения</w:t>
            </w:r>
          </w:p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pPr>
              <w:rPr>
                <w:b/>
                <w:bCs/>
              </w:rPr>
            </w:pPr>
            <w:r w:rsidRPr="007B05CF">
              <w:rPr>
                <w:b/>
                <w:bCs/>
              </w:rPr>
              <w:t>Тариф, руб.</w:t>
            </w:r>
          </w:p>
        </w:tc>
      </w:tr>
      <w:tr w:rsidR="007B05CF" w:rsidRPr="007B05CF" w:rsidTr="007B05CF">
        <w:trPr>
          <w:trHeight w:val="360"/>
          <w:tblCellSpacing w:w="6" w:type="dxa"/>
        </w:trPr>
        <w:tc>
          <w:tcPr>
            <w:tcW w:w="4987" w:type="pct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 xml:space="preserve">Тепловая энергия (ОАО «Енисейская ТГК-13») </w:t>
            </w:r>
            <w:hyperlink r:id="rId6" w:tooltip="Приказ Региональной энергетической комиссии Красноярского края от 14.11.2011 № 446-п" w:history="1">
              <w:r w:rsidRPr="007B05CF">
                <w:rPr>
                  <w:rStyle w:val="a3"/>
                  <w:i/>
                  <w:iCs/>
                  <w:color w:val="auto"/>
                </w:rPr>
                <w:t>Приказ РЭК КК от 14.11.2011 № 446-п</w:t>
              </w:r>
            </w:hyperlink>
          </w:p>
        </w:tc>
      </w:tr>
      <w:tr w:rsidR="007B05CF" w:rsidRPr="007B05CF" w:rsidTr="007B05CF">
        <w:trPr>
          <w:trHeight w:val="354"/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"/>
              </w:numPr>
            </w:pPr>
            <w:r w:rsidRPr="007B05CF">
              <w:t>с 01.01.2012 по 30.06.2012</w:t>
            </w:r>
          </w:p>
        </w:tc>
        <w:tc>
          <w:tcPr>
            <w:tcW w:w="812" w:type="pct"/>
            <w:vMerge w:val="restart"/>
            <w:vAlign w:val="center"/>
            <w:hideMark/>
          </w:tcPr>
          <w:p w:rsidR="00A8491B" w:rsidRPr="007B05CF" w:rsidRDefault="00A8491B" w:rsidP="00A8491B">
            <w:r w:rsidRPr="007B05CF">
              <w:t>Гкал</w:t>
            </w:r>
          </w:p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975,72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"/>
              </w:numPr>
            </w:pPr>
            <w:r w:rsidRPr="007B05CF">
              <w:t xml:space="preserve">с </w:t>
            </w:r>
            <w:bookmarkStart w:id="0" w:name="_GoBack"/>
            <w:bookmarkEnd w:id="0"/>
            <w:r w:rsidRPr="007B05CF">
              <w:t>01.07.2012 по 31.08.2012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1 034,26</w:t>
            </w:r>
          </w:p>
        </w:tc>
      </w:tr>
      <w:tr w:rsidR="007B05CF" w:rsidRPr="007B05CF" w:rsidTr="007B05CF">
        <w:trPr>
          <w:trHeight w:val="356"/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3"/>
              </w:numPr>
            </w:pPr>
            <w:r w:rsidRPr="007B05CF">
              <w:t>с 01.09.2012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1 081,84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4987" w:type="pct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Теплоноситель (ОАО «</w:t>
            </w:r>
            <w:proofErr w:type="gramStart"/>
            <w:r w:rsidRPr="007B05CF">
              <w:t>Енисейская</w:t>
            </w:r>
            <w:proofErr w:type="gramEnd"/>
            <w:r w:rsidRPr="007B05CF">
              <w:t xml:space="preserve"> ТГК-13») </w:t>
            </w:r>
            <w:hyperlink r:id="rId7" w:tooltip="Приказ Региональной энергетической комиссии Красноярского края от 13.12.2011 № 559-п" w:history="1">
              <w:r w:rsidRPr="007B05CF">
                <w:rPr>
                  <w:rStyle w:val="a3"/>
                  <w:i/>
                  <w:iCs/>
                  <w:color w:val="auto"/>
                </w:rPr>
                <w:t>Приказ РЭК КК от 13.12.2011 № 559-п</w:t>
              </w:r>
            </w:hyperlink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7"/>
              </w:numPr>
            </w:pPr>
            <w:r w:rsidRPr="007B05CF">
              <w:t>с 01.01.2012 по 30.06.2012</w:t>
            </w:r>
          </w:p>
        </w:tc>
        <w:tc>
          <w:tcPr>
            <w:tcW w:w="812" w:type="pct"/>
            <w:vMerge w:val="restart"/>
            <w:vAlign w:val="center"/>
            <w:hideMark/>
          </w:tcPr>
          <w:p w:rsidR="00A8491B" w:rsidRPr="007B05CF" w:rsidRDefault="00A8491B" w:rsidP="00A8491B">
            <w:r w:rsidRPr="007B05CF">
              <w:t>м</w:t>
            </w:r>
            <w:r w:rsidRPr="007B05CF">
              <w:rPr>
                <w:vertAlign w:val="superscript"/>
              </w:rPr>
              <w:t>3</w:t>
            </w:r>
          </w:p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2,91</w:t>
            </w:r>
            <w:r w:rsidRPr="007B05CF">
              <w:br/>
              <w:t>без НДС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8"/>
              </w:numPr>
            </w:pPr>
            <w:r w:rsidRPr="007B05CF">
              <w:t>с 01.07.2012 по 31.08.2012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3,08</w:t>
            </w:r>
            <w:r w:rsidRPr="007B05CF">
              <w:br/>
              <w:t>без НДС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9"/>
              </w:numPr>
            </w:pPr>
            <w:r w:rsidRPr="007B05CF">
              <w:t>с 01.09.2012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3,22</w:t>
            </w:r>
            <w:r w:rsidRPr="007B05CF">
              <w:br/>
              <w:t>без НДС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4987" w:type="pct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Холодная вода (ООО «</w:t>
            </w:r>
            <w:proofErr w:type="spellStart"/>
            <w:r w:rsidRPr="007B05CF">
              <w:t>КрасКом</w:t>
            </w:r>
            <w:proofErr w:type="spellEnd"/>
            <w:r w:rsidRPr="007B05CF">
              <w:t xml:space="preserve">») </w:t>
            </w:r>
            <w:hyperlink r:id="rId8" w:tooltip="Приказ Министерства жилищно-коммунального хозяйства Красноярского края от 08.11.2011 № 438-т" w:history="1">
              <w:r w:rsidRPr="007B05CF">
                <w:rPr>
                  <w:rStyle w:val="a3"/>
                  <w:i/>
                  <w:iCs/>
                  <w:color w:val="auto"/>
                </w:rPr>
                <w:t>Приказ Министерства ЖКХ КК от 08.11.2011 № 438-т</w:t>
              </w:r>
            </w:hyperlink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3"/>
              </w:numPr>
            </w:pPr>
            <w:r w:rsidRPr="007B05CF">
              <w:t>с 01.01.2012 по 30.06.2012</w:t>
            </w:r>
          </w:p>
        </w:tc>
        <w:tc>
          <w:tcPr>
            <w:tcW w:w="812" w:type="pct"/>
            <w:vMerge w:val="restart"/>
            <w:vAlign w:val="center"/>
            <w:hideMark/>
          </w:tcPr>
          <w:p w:rsidR="00A8491B" w:rsidRPr="007B05CF" w:rsidRDefault="00A8491B" w:rsidP="00A8491B">
            <w:r w:rsidRPr="007B05CF">
              <w:t>м</w:t>
            </w:r>
            <w:r w:rsidRPr="007B05CF">
              <w:rPr>
                <w:vertAlign w:val="superscript"/>
              </w:rPr>
              <w:t>3</w:t>
            </w:r>
          </w:p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10,73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4"/>
              </w:numPr>
            </w:pPr>
            <w:r w:rsidRPr="007B05CF">
              <w:t>с 01.07.2012 по 31.08.2012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11,39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5"/>
              </w:numPr>
            </w:pPr>
            <w:r w:rsidRPr="007B05CF">
              <w:t>с 01.09.2012 по 31.12.2012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12,04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6"/>
              </w:numPr>
            </w:pPr>
            <w:r w:rsidRPr="007B05CF">
              <w:t xml:space="preserve">надбавка к тарифу с 22.01.2010 по 31.12.2012 </w:t>
            </w:r>
            <w:hyperlink r:id="rId9" w:tooltip="Решение Красноярского городского Совета от 22.12.2009 № 8-133" w:history="1">
              <w:r w:rsidRPr="007B05CF">
                <w:rPr>
                  <w:rStyle w:val="a3"/>
                  <w:i/>
                  <w:iCs/>
                  <w:color w:val="auto"/>
                </w:rPr>
                <w:t>Решение Горсовета от 22.12.2009 № 8-133</w:t>
              </w:r>
            </w:hyperlink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0,24</w:t>
            </w:r>
            <w:r w:rsidRPr="007B05CF">
              <w:br/>
              <w:t>без НДС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4987" w:type="pct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Водоотведение (ООО «</w:t>
            </w:r>
            <w:proofErr w:type="spellStart"/>
            <w:r w:rsidRPr="007B05CF">
              <w:t>КрасКом</w:t>
            </w:r>
            <w:proofErr w:type="spellEnd"/>
            <w:r w:rsidRPr="007B05CF">
              <w:t xml:space="preserve">») </w:t>
            </w:r>
            <w:hyperlink r:id="rId10" w:tooltip="Приказ Министерства жилищно-коммунального хозяйства Красноярского края от 08.11.2011 № 438-т" w:history="1">
              <w:r w:rsidRPr="007B05CF">
                <w:rPr>
                  <w:rStyle w:val="a3"/>
                  <w:i/>
                  <w:iCs/>
                  <w:color w:val="auto"/>
                </w:rPr>
                <w:t>Приказ Министерства ЖКХ КК от 08.11.2011 № 438-т</w:t>
              </w:r>
            </w:hyperlink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7"/>
              </w:numPr>
            </w:pPr>
            <w:r w:rsidRPr="007B05CF">
              <w:t>с 01.01.2012 по 30.06.2012</w:t>
            </w:r>
          </w:p>
        </w:tc>
        <w:tc>
          <w:tcPr>
            <w:tcW w:w="812" w:type="pct"/>
            <w:vMerge w:val="restart"/>
            <w:vAlign w:val="center"/>
            <w:hideMark/>
          </w:tcPr>
          <w:p w:rsidR="00A8491B" w:rsidRPr="007B05CF" w:rsidRDefault="00A8491B" w:rsidP="00A8491B">
            <w:r w:rsidRPr="007B05CF">
              <w:t>м</w:t>
            </w:r>
            <w:r w:rsidRPr="007B05CF">
              <w:rPr>
                <w:vertAlign w:val="superscript"/>
              </w:rPr>
              <w:t>3</w:t>
            </w:r>
          </w:p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7,41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8"/>
              </w:numPr>
            </w:pPr>
            <w:r w:rsidRPr="007B05CF">
              <w:t>с 01.07.2012 по 31.08.2012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7,87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19"/>
              </w:numPr>
            </w:pPr>
            <w:r w:rsidRPr="007B05CF">
              <w:t>с 01.09.2012 по 31.12.2012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8,35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0"/>
              </w:numPr>
            </w:pPr>
            <w:r w:rsidRPr="007B05CF">
              <w:t xml:space="preserve">надбавка к тарифу с 22.01.2010 по 31.12.2012 </w:t>
            </w:r>
            <w:hyperlink r:id="rId11" w:tooltip="Решение Красноярского городского Совета от 22.12.2009 № 8-133" w:history="1">
              <w:r w:rsidRPr="007B05CF">
                <w:rPr>
                  <w:rStyle w:val="a3"/>
                  <w:i/>
                  <w:iCs/>
                  <w:color w:val="auto"/>
                </w:rPr>
                <w:t>Решение Горсовета от 22.12.2009 № 8-133</w:t>
              </w:r>
            </w:hyperlink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t>0,41</w:t>
            </w:r>
            <w:r w:rsidRPr="007B05CF">
              <w:br/>
              <w:t>без НДС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4987" w:type="pct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Электроэнергия (ОАО «</w:t>
            </w:r>
            <w:proofErr w:type="spellStart"/>
            <w:r w:rsidRPr="007B05CF">
              <w:t>Красноярскэнергосбыт</w:t>
            </w:r>
            <w:proofErr w:type="spellEnd"/>
            <w:r w:rsidRPr="007B05CF">
              <w:t xml:space="preserve">») </w:t>
            </w:r>
            <w:hyperlink r:id="rId12" w:tooltip="Приказ Региональной энергетической комиссии Красноярского края от 19.12.2011 № 568-п" w:history="1">
              <w:r w:rsidRPr="007B05CF">
                <w:rPr>
                  <w:rStyle w:val="a3"/>
                  <w:i/>
                  <w:iCs/>
                  <w:color w:val="auto"/>
                </w:rPr>
                <w:t>Приказ РЭК КК от 19.12.2011 № 568-п</w:t>
              </w:r>
            </w:hyperlink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1"/>
              </w:numPr>
            </w:pPr>
            <w:r w:rsidRPr="007B05CF">
              <w:t>с 01.01.2012 по 30.06.2012</w:t>
            </w:r>
          </w:p>
          <w:p w:rsidR="00A8491B" w:rsidRPr="007B05CF" w:rsidRDefault="00A8491B" w:rsidP="00A8491B">
            <w:r w:rsidRPr="007B05CF">
              <w:t>в пределах социальной нормы</w:t>
            </w:r>
            <w:r w:rsidRPr="007B05CF">
              <w:br/>
              <w:t>сверх социальной нормы</w:t>
            </w:r>
          </w:p>
        </w:tc>
        <w:tc>
          <w:tcPr>
            <w:tcW w:w="812" w:type="pct"/>
            <w:vMerge w:val="restart"/>
            <w:vAlign w:val="center"/>
            <w:hideMark/>
          </w:tcPr>
          <w:p w:rsidR="00A8491B" w:rsidRPr="007B05CF" w:rsidRDefault="00A8491B" w:rsidP="00A8491B">
            <w:proofErr w:type="spellStart"/>
            <w:r w:rsidRPr="007B05CF">
              <w:t>кВт·</w:t>
            </w:r>
            <w:proofErr w:type="gramStart"/>
            <w:r w:rsidRPr="007B05CF">
              <w:t>ч</w:t>
            </w:r>
            <w:proofErr w:type="spellEnd"/>
            <w:proofErr w:type="gramEnd"/>
          </w:p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br/>
              <w:t>1,06</w:t>
            </w:r>
            <w:r w:rsidRPr="007B05CF">
              <w:br/>
              <w:t>1,70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3473" w:type="pct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2"/>
              </w:numPr>
            </w:pPr>
            <w:r w:rsidRPr="007B05CF">
              <w:t>с 01.07.2012</w:t>
            </w:r>
          </w:p>
          <w:p w:rsidR="00A8491B" w:rsidRPr="007B05CF" w:rsidRDefault="00A8491B" w:rsidP="00A8491B">
            <w:r w:rsidRPr="007B05CF">
              <w:lastRenderedPageBreak/>
              <w:t>в пределах социальной нормы</w:t>
            </w:r>
            <w:r w:rsidRPr="007B05CF">
              <w:br/>
              <w:t>сверх социальной нормы</w:t>
            </w:r>
          </w:p>
        </w:tc>
        <w:tc>
          <w:tcPr>
            <w:tcW w:w="812" w:type="pct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690" w:type="pct"/>
            <w:vAlign w:val="center"/>
            <w:hideMark/>
          </w:tcPr>
          <w:p w:rsidR="00A8491B" w:rsidRPr="007B05CF" w:rsidRDefault="00A8491B" w:rsidP="00A8491B">
            <w:r w:rsidRPr="007B05CF">
              <w:br/>
              <w:t>1,12</w:t>
            </w:r>
            <w:r w:rsidRPr="007B05CF">
              <w:br/>
            </w:r>
            <w:r w:rsidRPr="007B05CF">
              <w:lastRenderedPageBreak/>
              <w:t>1,80</w:t>
            </w:r>
          </w:p>
        </w:tc>
      </w:tr>
    </w:tbl>
    <w:p w:rsidR="00A8491B" w:rsidRPr="007B05CF" w:rsidRDefault="00A8491B" w:rsidP="00A8491B">
      <w:r w:rsidRPr="007B05CF">
        <w:lastRenderedPageBreak/>
        <w:t xml:space="preserve">Тарифы на коммунальные услуги: </w:t>
      </w:r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077"/>
        <w:gridCol w:w="1635"/>
        <w:gridCol w:w="1420"/>
      </w:tblGrid>
      <w:tr w:rsidR="007B05CF" w:rsidRPr="007B05CF" w:rsidTr="007B05CF">
        <w:trPr>
          <w:tblCellSpacing w:w="6" w:type="dxa"/>
        </w:trPr>
        <w:tc>
          <w:tcPr>
            <w:tcW w:w="3500" w:type="pct"/>
            <w:vAlign w:val="center"/>
            <w:hideMark/>
          </w:tcPr>
          <w:p w:rsidR="00A8491B" w:rsidRPr="007B05CF" w:rsidRDefault="00A8491B" w:rsidP="00A8491B">
            <w:pPr>
              <w:rPr>
                <w:b/>
                <w:bCs/>
              </w:rPr>
            </w:pPr>
            <w:r w:rsidRPr="007B05CF">
              <w:rPr>
                <w:b/>
                <w:bCs/>
              </w:rPr>
              <w:t>Наименование коммунальной услуги</w:t>
            </w:r>
          </w:p>
        </w:tc>
        <w:tc>
          <w:tcPr>
            <w:tcW w:w="0" w:type="auto"/>
            <w:vAlign w:val="center"/>
            <w:hideMark/>
          </w:tcPr>
          <w:p w:rsidR="00A8491B" w:rsidRPr="007B05CF" w:rsidRDefault="00A8491B" w:rsidP="00A8491B">
            <w:pPr>
              <w:rPr>
                <w:b/>
                <w:bCs/>
              </w:rPr>
            </w:pPr>
            <w:r w:rsidRPr="007B05CF">
              <w:rPr>
                <w:b/>
                <w:bCs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A8491B" w:rsidRPr="007B05CF" w:rsidRDefault="00A8491B" w:rsidP="00A8491B">
            <w:pPr>
              <w:rPr>
                <w:b/>
                <w:bCs/>
              </w:rPr>
            </w:pPr>
            <w:r w:rsidRPr="007B05CF">
              <w:rPr>
                <w:b/>
                <w:bCs/>
              </w:rPr>
              <w:t>Тариф, руб.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Отопление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3"/>
              </w:numPr>
            </w:pPr>
            <w:r w:rsidRPr="007B05CF">
              <w:t>поставщик тепла ОАО «</w:t>
            </w:r>
            <w:proofErr w:type="gramStart"/>
            <w:r w:rsidRPr="007B05CF">
              <w:t>Енисейская</w:t>
            </w:r>
            <w:proofErr w:type="gramEnd"/>
            <w:r w:rsidRPr="007B05CF">
              <w:t xml:space="preserve"> ТГК-13»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</w:t>
            </w:r>
          </w:p>
        </w:tc>
        <w:tc>
          <w:tcPr>
            <w:tcW w:w="2250" w:type="dxa"/>
            <w:vMerge w:val="restart"/>
            <w:vAlign w:val="center"/>
            <w:hideMark/>
          </w:tcPr>
          <w:p w:rsidR="00A8491B" w:rsidRPr="007B05CF" w:rsidRDefault="00A8491B" w:rsidP="00A8491B">
            <w:r w:rsidRPr="007B05CF">
              <w:t>Гкал</w:t>
            </w:r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975,72</w:t>
            </w:r>
            <w:r w:rsidRPr="007B05CF">
              <w:br/>
              <w:t>1 034,26</w:t>
            </w:r>
            <w:r w:rsidRPr="007B05CF">
              <w:br/>
              <w:t>1 081,84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4"/>
              </w:numPr>
            </w:pPr>
            <w:r w:rsidRPr="007B05CF">
              <w:t>поставщик тепл</w:t>
            </w:r>
            <w:proofErr w:type="gramStart"/>
            <w:r w:rsidRPr="007B05CF">
              <w:t>а ООО</w:t>
            </w:r>
            <w:proofErr w:type="gramEnd"/>
            <w:r w:rsidRPr="007B05CF">
              <w:t xml:space="preserve"> «</w:t>
            </w:r>
            <w:proofErr w:type="spellStart"/>
            <w:r w:rsidRPr="007B05CF">
              <w:t>КрасКом</w:t>
            </w:r>
            <w:proofErr w:type="spellEnd"/>
            <w:r w:rsidRPr="007B05CF">
              <w:t>»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</w:t>
            </w:r>
          </w:p>
        </w:tc>
        <w:tc>
          <w:tcPr>
            <w:tcW w:w="0" w:type="auto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1 630,39</w:t>
            </w:r>
            <w:r w:rsidRPr="007B05CF">
              <w:br/>
              <w:t>1 728,22</w:t>
            </w:r>
            <w:r w:rsidRPr="007B05CF">
              <w:br/>
              <w:t>1 807,71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Горячее водоснабжение</w:t>
            </w:r>
            <w:r w:rsidRPr="007B05CF">
              <w:rPr>
                <w:vertAlign w:val="superscript"/>
              </w:rPr>
              <w:t>*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5"/>
              </w:numPr>
            </w:pPr>
            <w:r w:rsidRPr="007B05CF">
              <w:t>поставщик тепла ОАО «</w:t>
            </w:r>
            <w:proofErr w:type="gramStart"/>
            <w:r w:rsidRPr="007B05CF">
              <w:t>Енисейская</w:t>
            </w:r>
            <w:proofErr w:type="gramEnd"/>
            <w:r w:rsidRPr="007B05CF">
              <w:t xml:space="preserve"> ТГК-13», при наличии теплообменника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</w:t>
            </w:r>
          </w:p>
        </w:tc>
        <w:tc>
          <w:tcPr>
            <w:tcW w:w="2250" w:type="dxa"/>
            <w:vMerge w:val="restart"/>
            <w:vAlign w:val="center"/>
            <w:hideMark/>
          </w:tcPr>
          <w:p w:rsidR="00A8491B" w:rsidRPr="007B05CF" w:rsidRDefault="00A8491B" w:rsidP="00A8491B">
            <w:r w:rsidRPr="007B05CF">
              <w:t>м</w:t>
            </w:r>
            <w:r w:rsidRPr="007B05CF">
              <w:rPr>
                <w:vertAlign w:val="superscript"/>
              </w:rPr>
              <w:t>3</w:t>
            </w:r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72,11</w:t>
            </w:r>
            <w:r w:rsidRPr="007B05CF">
              <w:br/>
              <w:t>76,43</w:t>
            </w:r>
            <w:r w:rsidRPr="007B05CF">
              <w:br/>
              <w:t>80,06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6"/>
              </w:numPr>
            </w:pPr>
            <w:r w:rsidRPr="007B05CF">
              <w:t>поставщик тепла ОАО «</w:t>
            </w:r>
            <w:proofErr w:type="gramStart"/>
            <w:r w:rsidRPr="007B05CF">
              <w:t>Енисейская</w:t>
            </w:r>
            <w:proofErr w:type="gramEnd"/>
            <w:r w:rsidRPr="007B05CF">
              <w:t xml:space="preserve"> ТГК-13», без теплообменника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</w:t>
            </w:r>
          </w:p>
        </w:tc>
        <w:tc>
          <w:tcPr>
            <w:tcW w:w="0" w:type="auto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64,53</w:t>
            </w:r>
            <w:r w:rsidRPr="007B05CF">
              <w:br/>
              <w:t>68,39</w:t>
            </w:r>
            <w:r w:rsidRPr="007B05CF">
              <w:br/>
              <w:t>71,54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7"/>
              </w:numPr>
            </w:pPr>
            <w:r w:rsidRPr="007B05CF">
              <w:t>поставщик тепл</w:t>
            </w:r>
            <w:proofErr w:type="gramStart"/>
            <w:r w:rsidRPr="007B05CF">
              <w:t>а ООО</w:t>
            </w:r>
            <w:proofErr w:type="gramEnd"/>
            <w:r w:rsidRPr="007B05CF">
              <w:t xml:space="preserve"> «</w:t>
            </w:r>
            <w:proofErr w:type="spellStart"/>
            <w:r w:rsidRPr="007B05CF">
              <w:t>КрасКом</w:t>
            </w:r>
            <w:proofErr w:type="spellEnd"/>
            <w:r w:rsidRPr="007B05CF">
              <w:t>», при наличии теплообменника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</w:t>
            </w:r>
          </w:p>
        </w:tc>
        <w:tc>
          <w:tcPr>
            <w:tcW w:w="0" w:type="auto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113,10</w:t>
            </w:r>
            <w:r w:rsidRPr="007B05CF">
              <w:br/>
              <w:t>119,89</w:t>
            </w:r>
            <w:r w:rsidRPr="007B05CF">
              <w:br/>
              <w:t>125,51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8"/>
              </w:numPr>
            </w:pPr>
            <w:r w:rsidRPr="007B05CF">
              <w:t>поставщик тепл</w:t>
            </w:r>
            <w:proofErr w:type="gramStart"/>
            <w:r w:rsidRPr="007B05CF">
              <w:t>а ООО</w:t>
            </w:r>
            <w:proofErr w:type="gramEnd"/>
            <w:r w:rsidRPr="007B05CF">
              <w:t xml:space="preserve"> «</w:t>
            </w:r>
            <w:proofErr w:type="spellStart"/>
            <w:r w:rsidRPr="007B05CF">
              <w:t>КрасКом</w:t>
            </w:r>
            <w:proofErr w:type="spellEnd"/>
            <w:r w:rsidRPr="007B05CF">
              <w:t>», без теплообменника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</w:t>
            </w:r>
          </w:p>
        </w:tc>
        <w:tc>
          <w:tcPr>
            <w:tcW w:w="0" w:type="auto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121,71</w:t>
            </w:r>
            <w:r w:rsidRPr="007B05CF">
              <w:br/>
              <w:t>129,02</w:t>
            </w:r>
            <w:r w:rsidRPr="007B05CF">
              <w:br/>
              <w:t>134,95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t>Холодное водоснабжение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</w:r>
            <w:r w:rsidRPr="007B05CF">
              <w:lastRenderedPageBreak/>
              <w:t>с 01.09.2012 по 31.12.2012</w:t>
            </w:r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lastRenderedPageBreak/>
              <w:t>м</w:t>
            </w:r>
            <w:r w:rsidRPr="007B05CF">
              <w:rPr>
                <w:vertAlign w:val="superscript"/>
              </w:rPr>
              <w:t>3</w:t>
            </w:r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11,01</w:t>
            </w:r>
            <w:r w:rsidRPr="007B05CF">
              <w:br/>
              <w:t>11,67</w:t>
            </w:r>
            <w:r w:rsidRPr="007B05CF">
              <w:br/>
            </w:r>
            <w:r w:rsidRPr="007B05CF">
              <w:lastRenderedPageBreak/>
              <w:t>12,32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lastRenderedPageBreak/>
              <w:t>Водоотведение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 по 31.08.2012</w:t>
            </w:r>
            <w:r w:rsidRPr="007B05CF">
              <w:br/>
              <w:t>с 01.09.2012 по 31.12.2012</w:t>
            </w:r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t>м</w:t>
            </w:r>
            <w:r w:rsidRPr="007B05CF">
              <w:rPr>
                <w:vertAlign w:val="superscript"/>
              </w:rPr>
              <w:t>3</w:t>
            </w:r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7,89</w:t>
            </w:r>
            <w:r w:rsidRPr="007B05CF">
              <w:br/>
              <w:t>8,35</w:t>
            </w:r>
            <w:r w:rsidRPr="007B05CF">
              <w:br/>
              <w:t>8,83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gridSpan w:val="3"/>
            <w:vAlign w:val="center"/>
            <w:hideMark/>
          </w:tcPr>
          <w:p w:rsidR="00A8491B" w:rsidRPr="007B05CF" w:rsidRDefault="00A8491B" w:rsidP="00A8491B">
            <w:r w:rsidRPr="007B05CF">
              <w:t>Электроснабжение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29"/>
              </w:numPr>
            </w:pPr>
            <w:r w:rsidRPr="007B05CF">
              <w:t>в пределах социальной нормы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</w:t>
            </w:r>
          </w:p>
        </w:tc>
        <w:tc>
          <w:tcPr>
            <w:tcW w:w="2250" w:type="dxa"/>
            <w:vMerge w:val="restart"/>
            <w:vAlign w:val="center"/>
            <w:hideMark/>
          </w:tcPr>
          <w:p w:rsidR="00A8491B" w:rsidRPr="007B05CF" w:rsidRDefault="00A8491B" w:rsidP="00A8491B">
            <w:proofErr w:type="spellStart"/>
            <w:r w:rsidRPr="007B05CF">
              <w:t>кВт·</w:t>
            </w:r>
            <w:proofErr w:type="gramStart"/>
            <w:r w:rsidRPr="007B05CF">
              <w:t>ч</w:t>
            </w:r>
            <w:proofErr w:type="spellEnd"/>
            <w:proofErr w:type="gramEnd"/>
          </w:p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1,06</w:t>
            </w:r>
            <w:r w:rsidRPr="007B05CF">
              <w:br/>
              <w:t>1,12</w:t>
            </w:r>
          </w:p>
        </w:tc>
      </w:tr>
      <w:tr w:rsidR="007B05CF" w:rsidRPr="007B05CF" w:rsidTr="007B05CF">
        <w:trPr>
          <w:tblCellSpacing w:w="6" w:type="dxa"/>
        </w:trPr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pPr>
              <w:numPr>
                <w:ilvl w:val="0"/>
                <w:numId w:val="30"/>
              </w:numPr>
            </w:pPr>
            <w:r w:rsidRPr="007B05CF">
              <w:t>сверх социальной нормы</w:t>
            </w:r>
          </w:p>
          <w:p w:rsidR="00A8491B" w:rsidRPr="007B05CF" w:rsidRDefault="00A8491B" w:rsidP="00A8491B">
            <w:r w:rsidRPr="007B05CF">
              <w:t>с 01.01.2012 по 30.06.2012</w:t>
            </w:r>
            <w:r w:rsidRPr="007B05CF">
              <w:br/>
              <w:t>с 01.07.2012</w:t>
            </w:r>
          </w:p>
        </w:tc>
        <w:tc>
          <w:tcPr>
            <w:tcW w:w="0" w:type="auto"/>
            <w:vMerge/>
            <w:vAlign w:val="center"/>
            <w:hideMark/>
          </w:tcPr>
          <w:p w:rsidR="00A8491B" w:rsidRPr="007B05CF" w:rsidRDefault="00A8491B" w:rsidP="00A8491B"/>
        </w:tc>
        <w:tc>
          <w:tcPr>
            <w:tcW w:w="2250" w:type="dxa"/>
            <w:vAlign w:val="center"/>
            <w:hideMark/>
          </w:tcPr>
          <w:p w:rsidR="00A8491B" w:rsidRPr="007B05CF" w:rsidRDefault="00A8491B" w:rsidP="00A8491B">
            <w:r w:rsidRPr="007B05CF">
              <w:br/>
              <w:t>1,70</w:t>
            </w:r>
            <w:r w:rsidRPr="007B05CF">
              <w:br/>
              <w:t>1,80</w:t>
            </w:r>
          </w:p>
        </w:tc>
      </w:tr>
    </w:tbl>
    <w:p w:rsidR="00A8491B" w:rsidRPr="007B05CF" w:rsidRDefault="00A8491B" w:rsidP="007B05CF">
      <w:pPr>
        <w:ind w:firstLine="708"/>
        <w:jc w:val="both"/>
      </w:pPr>
      <w:r w:rsidRPr="007B05CF">
        <w:t xml:space="preserve">В соответствии с письмом департамента городского хозяйства администрации </w:t>
      </w:r>
      <w:proofErr w:type="spellStart"/>
      <w:r w:rsidRPr="007B05CF">
        <w:t>г</w:t>
      </w:r>
      <w:proofErr w:type="gramStart"/>
      <w:r w:rsidRPr="007B05CF">
        <w:t>.К</w:t>
      </w:r>
      <w:proofErr w:type="gramEnd"/>
      <w:r w:rsidRPr="007B05CF">
        <w:t>расноярска</w:t>
      </w:r>
      <w:proofErr w:type="spellEnd"/>
      <w:r w:rsidRPr="007B05CF">
        <w:t xml:space="preserve"> от 29.12.2010 № 03/8562 стоимость горячего водоснабжения на 1 м</w:t>
      </w:r>
      <w:r w:rsidRPr="007B05CF">
        <w:rPr>
          <w:vertAlign w:val="superscript"/>
        </w:rPr>
        <w:t>3</w:t>
      </w:r>
      <w:r w:rsidRPr="007B05CF">
        <w:t xml:space="preserve"> устанавливается расчётным методом в соответствии с </w:t>
      </w:r>
      <w:hyperlink r:id="rId13" w:tooltip="&quot;Методические рекомендации...&quot; (Приложение к приказу ДГХ от 30.12.2010 №682-гх)" w:history="1">
        <w:r w:rsidRPr="007B05CF">
          <w:rPr>
            <w:rStyle w:val="a3"/>
            <w:color w:val="auto"/>
          </w:rPr>
          <w:t>приказом</w:t>
        </w:r>
      </w:hyperlink>
      <w:r w:rsidRPr="007B05CF">
        <w:t xml:space="preserve"> департамента городского хозяйства администрации города от 30.12.2010 № 682-гх (так как в Красноярске существующая схема горячего водоснабжения не предполагает наличия предприятий коммунального комплекса, осуществляющих непосредственное производство горячей воды). </w:t>
      </w:r>
    </w:p>
    <w:p w:rsidR="004B38DE" w:rsidRPr="007B05CF" w:rsidRDefault="004B38DE"/>
    <w:sectPr w:rsidR="004B38DE" w:rsidRPr="007B05CF" w:rsidSect="007B05CF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0" type="#_x0000_t75" style="width:3in;height:3in" o:bullet="t"/>
    </w:pict>
  </w:numPicBullet>
  <w:numPicBullet w:numPicBulletId="1">
    <w:pict>
      <v:shape id="_x0000_i1571" type="#_x0000_t75" style="width:3in;height:3in" o:bullet="t"/>
    </w:pict>
  </w:numPicBullet>
  <w:numPicBullet w:numPicBulletId="2">
    <w:pict>
      <v:shape id="_x0000_i1572" type="#_x0000_t75" style="width:3in;height:3in" o:bullet="t"/>
    </w:pict>
  </w:numPicBullet>
  <w:numPicBullet w:numPicBulletId="3">
    <w:pict>
      <v:shape id="_x0000_i1573" type="#_x0000_t75" style="width:3in;height:3in" o:bullet="t"/>
    </w:pict>
  </w:numPicBullet>
  <w:numPicBullet w:numPicBulletId="4">
    <w:pict>
      <v:shape id="_x0000_i1574" type="#_x0000_t75" style="width:3in;height:3in" o:bullet="t"/>
    </w:pict>
  </w:numPicBullet>
  <w:numPicBullet w:numPicBulletId="5">
    <w:pict>
      <v:shape id="_x0000_i1575" type="#_x0000_t75" style="width:3in;height:3in" o:bullet="t"/>
    </w:pict>
  </w:numPicBullet>
  <w:numPicBullet w:numPicBulletId="6">
    <w:pict>
      <v:shape id="_x0000_i1576" type="#_x0000_t75" style="width:3in;height:3in" o:bullet="t"/>
    </w:pict>
  </w:numPicBullet>
  <w:numPicBullet w:numPicBulletId="7">
    <w:pict>
      <v:shape id="_x0000_i1577" type="#_x0000_t75" style="width:3in;height:3in" o:bullet="t"/>
    </w:pict>
  </w:numPicBullet>
  <w:numPicBullet w:numPicBulletId="8">
    <w:pict>
      <v:shape id="_x0000_i1578" type="#_x0000_t75" style="width:3in;height:3in" o:bullet="t"/>
    </w:pict>
  </w:numPicBullet>
  <w:numPicBullet w:numPicBulletId="9">
    <w:pict>
      <v:shape id="_x0000_i1579" type="#_x0000_t75" style="width:3in;height:3in" o:bullet="t"/>
    </w:pict>
  </w:numPicBullet>
  <w:numPicBullet w:numPicBulletId="10">
    <w:pict>
      <v:shape id="_x0000_i1580" type="#_x0000_t75" style="width:3in;height:3in" o:bullet="t"/>
    </w:pict>
  </w:numPicBullet>
  <w:numPicBullet w:numPicBulletId="11">
    <w:pict>
      <v:shape id="_x0000_i1581" type="#_x0000_t75" style="width:3in;height:3in" o:bullet="t"/>
    </w:pict>
  </w:numPicBullet>
  <w:numPicBullet w:numPicBulletId="12">
    <w:pict>
      <v:shape id="_x0000_i1582" type="#_x0000_t75" style="width:3in;height:3in" o:bullet="t"/>
    </w:pict>
  </w:numPicBullet>
  <w:numPicBullet w:numPicBulletId="13">
    <w:pict>
      <v:shape id="_x0000_i1583" type="#_x0000_t75" style="width:3in;height:3in" o:bullet="t"/>
    </w:pict>
  </w:numPicBullet>
  <w:numPicBullet w:numPicBulletId="14">
    <w:pict>
      <v:shape id="_x0000_i1584" type="#_x0000_t75" style="width:3in;height:3in" o:bullet="t"/>
    </w:pict>
  </w:numPicBullet>
  <w:numPicBullet w:numPicBulletId="15">
    <w:pict>
      <v:shape id="_x0000_i1585" type="#_x0000_t75" style="width:3in;height:3in" o:bullet="t"/>
    </w:pict>
  </w:numPicBullet>
  <w:numPicBullet w:numPicBulletId="16">
    <w:pict>
      <v:shape id="_x0000_i1586" type="#_x0000_t75" style="width:3in;height:3in" o:bullet="t"/>
    </w:pict>
  </w:numPicBullet>
  <w:numPicBullet w:numPicBulletId="17">
    <w:pict>
      <v:shape id="_x0000_i1587" type="#_x0000_t75" style="width:3in;height:3in" o:bullet="t"/>
    </w:pict>
  </w:numPicBullet>
  <w:numPicBullet w:numPicBulletId="18">
    <w:pict>
      <v:shape id="_x0000_i1588" type="#_x0000_t75" style="width:3in;height:3in" o:bullet="t"/>
    </w:pict>
  </w:numPicBullet>
  <w:numPicBullet w:numPicBulletId="19">
    <w:pict>
      <v:shape id="_x0000_i1589" type="#_x0000_t75" style="width:3in;height:3in" o:bullet="t"/>
    </w:pict>
  </w:numPicBullet>
  <w:numPicBullet w:numPicBulletId="20">
    <w:pict>
      <v:shape id="_x0000_i1590" type="#_x0000_t75" style="width:3in;height:3in" o:bullet="t"/>
    </w:pict>
  </w:numPicBullet>
  <w:numPicBullet w:numPicBulletId="21">
    <w:pict>
      <v:shape id="_x0000_i1591" type="#_x0000_t75" style="width:3in;height:3in" o:bullet="t"/>
    </w:pict>
  </w:numPicBullet>
  <w:numPicBullet w:numPicBulletId="22">
    <w:pict>
      <v:shape id="_x0000_i1592" type="#_x0000_t75" style="width:3in;height:3in" o:bullet="t"/>
    </w:pict>
  </w:numPicBullet>
  <w:numPicBullet w:numPicBulletId="23">
    <w:pict>
      <v:shape id="_x0000_i1593" type="#_x0000_t75" style="width:3in;height:3in" o:bullet="t"/>
    </w:pict>
  </w:numPicBullet>
  <w:numPicBullet w:numPicBulletId="24">
    <w:pict>
      <v:shape id="_x0000_i1594" type="#_x0000_t75" style="width:3in;height:3in" o:bullet="t"/>
    </w:pict>
  </w:numPicBullet>
  <w:numPicBullet w:numPicBulletId="25">
    <w:pict>
      <v:shape id="_x0000_i1595" type="#_x0000_t75" style="width:3in;height:3in" o:bullet="t"/>
    </w:pict>
  </w:numPicBullet>
  <w:numPicBullet w:numPicBulletId="26">
    <w:pict>
      <v:shape id="_x0000_i1596" type="#_x0000_t75" style="width:3in;height:3in" o:bullet="t"/>
    </w:pict>
  </w:numPicBullet>
  <w:numPicBullet w:numPicBulletId="27">
    <w:pict>
      <v:shape id="_x0000_i1597" type="#_x0000_t75" style="width:3in;height:3in" o:bullet="t"/>
    </w:pict>
  </w:numPicBullet>
  <w:numPicBullet w:numPicBulletId="28">
    <w:pict>
      <v:shape id="_x0000_i1598" type="#_x0000_t75" style="width:3in;height:3in" o:bullet="t"/>
    </w:pict>
  </w:numPicBullet>
  <w:numPicBullet w:numPicBulletId="29">
    <w:pict>
      <v:shape id="_x0000_i1599" type="#_x0000_t75" style="width:3in;height:3in" o:bullet="t"/>
    </w:pict>
  </w:numPicBullet>
  <w:abstractNum w:abstractNumId="0">
    <w:nsid w:val="085E3E63"/>
    <w:multiLevelType w:val="multilevel"/>
    <w:tmpl w:val="2B58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759F0"/>
    <w:multiLevelType w:val="multilevel"/>
    <w:tmpl w:val="3A4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360DB"/>
    <w:multiLevelType w:val="multilevel"/>
    <w:tmpl w:val="EF5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264DE"/>
    <w:multiLevelType w:val="multilevel"/>
    <w:tmpl w:val="C6E4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66ADF"/>
    <w:multiLevelType w:val="multilevel"/>
    <w:tmpl w:val="786C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37218"/>
    <w:multiLevelType w:val="multilevel"/>
    <w:tmpl w:val="847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31BA1"/>
    <w:multiLevelType w:val="multilevel"/>
    <w:tmpl w:val="2EC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1D544A"/>
    <w:multiLevelType w:val="multilevel"/>
    <w:tmpl w:val="C808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863F5"/>
    <w:multiLevelType w:val="multilevel"/>
    <w:tmpl w:val="E8CE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30096"/>
    <w:multiLevelType w:val="multilevel"/>
    <w:tmpl w:val="4C36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1699C"/>
    <w:multiLevelType w:val="multilevel"/>
    <w:tmpl w:val="A3B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83C46"/>
    <w:multiLevelType w:val="multilevel"/>
    <w:tmpl w:val="37BE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663DC"/>
    <w:multiLevelType w:val="multilevel"/>
    <w:tmpl w:val="72C4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F3157"/>
    <w:multiLevelType w:val="multilevel"/>
    <w:tmpl w:val="17F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C73AF"/>
    <w:multiLevelType w:val="multilevel"/>
    <w:tmpl w:val="B26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1922D0"/>
    <w:multiLevelType w:val="multilevel"/>
    <w:tmpl w:val="656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250270"/>
    <w:multiLevelType w:val="multilevel"/>
    <w:tmpl w:val="749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91286"/>
    <w:multiLevelType w:val="multilevel"/>
    <w:tmpl w:val="A34E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F19B9"/>
    <w:multiLevelType w:val="multilevel"/>
    <w:tmpl w:val="EA1A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957D5"/>
    <w:multiLevelType w:val="multilevel"/>
    <w:tmpl w:val="A6C8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59335F"/>
    <w:multiLevelType w:val="multilevel"/>
    <w:tmpl w:val="198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464D8E"/>
    <w:multiLevelType w:val="multilevel"/>
    <w:tmpl w:val="F74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D65B6C"/>
    <w:multiLevelType w:val="multilevel"/>
    <w:tmpl w:val="F184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920EB9"/>
    <w:multiLevelType w:val="multilevel"/>
    <w:tmpl w:val="1E10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514D5C"/>
    <w:multiLevelType w:val="multilevel"/>
    <w:tmpl w:val="0EC8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A02BD"/>
    <w:multiLevelType w:val="multilevel"/>
    <w:tmpl w:val="8F62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70DEE"/>
    <w:multiLevelType w:val="multilevel"/>
    <w:tmpl w:val="472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00A2C"/>
    <w:multiLevelType w:val="multilevel"/>
    <w:tmpl w:val="BDA2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AB0D02"/>
    <w:multiLevelType w:val="multilevel"/>
    <w:tmpl w:val="7844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D1054E"/>
    <w:multiLevelType w:val="multilevel"/>
    <w:tmpl w:val="782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15"/>
  </w:num>
  <w:num w:numId="4">
    <w:abstractNumId w:val="29"/>
  </w:num>
  <w:num w:numId="5">
    <w:abstractNumId w:val="7"/>
  </w:num>
  <w:num w:numId="6">
    <w:abstractNumId w:val="4"/>
  </w:num>
  <w:num w:numId="7">
    <w:abstractNumId w:val="12"/>
  </w:num>
  <w:num w:numId="8">
    <w:abstractNumId w:val="8"/>
  </w:num>
  <w:num w:numId="9">
    <w:abstractNumId w:val="11"/>
  </w:num>
  <w:num w:numId="10">
    <w:abstractNumId w:val="22"/>
  </w:num>
  <w:num w:numId="11">
    <w:abstractNumId w:val="5"/>
  </w:num>
  <w:num w:numId="12">
    <w:abstractNumId w:val="17"/>
  </w:num>
  <w:num w:numId="13">
    <w:abstractNumId w:val="19"/>
  </w:num>
  <w:num w:numId="14">
    <w:abstractNumId w:val="21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2"/>
  </w:num>
  <w:num w:numId="20">
    <w:abstractNumId w:val="28"/>
  </w:num>
  <w:num w:numId="21">
    <w:abstractNumId w:val="14"/>
  </w:num>
  <w:num w:numId="22">
    <w:abstractNumId w:val="6"/>
  </w:num>
  <w:num w:numId="23">
    <w:abstractNumId w:val="9"/>
  </w:num>
  <w:num w:numId="24">
    <w:abstractNumId w:val="24"/>
  </w:num>
  <w:num w:numId="25">
    <w:abstractNumId w:val="3"/>
  </w:num>
  <w:num w:numId="26">
    <w:abstractNumId w:val="23"/>
  </w:num>
  <w:num w:numId="27">
    <w:abstractNumId w:val="13"/>
  </w:num>
  <w:num w:numId="28">
    <w:abstractNumId w:val="16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C4"/>
    <w:rsid w:val="00002CB1"/>
    <w:rsid w:val="0000787B"/>
    <w:rsid w:val="000D5CA0"/>
    <w:rsid w:val="000E7AEF"/>
    <w:rsid w:val="00110CCD"/>
    <w:rsid w:val="0017494D"/>
    <w:rsid w:val="001B07C3"/>
    <w:rsid w:val="002018E2"/>
    <w:rsid w:val="00224737"/>
    <w:rsid w:val="002313BA"/>
    <w:rsid w:val="0028605B"/>
    <w:rsid w:val="00291D08"/>
    <w:rsid w:val="002C2744"/>
    <w:rsid w:val="00304A2E"/>
    <w:rsid w:val="00314645"/>
    <w:rsid w:val="00314744"/>
    <w:rsid w:val="0031534C"/>
    <w:rsid w:val="00395E7A"/>
    <w:rsid w:val="00435753"/>
    <w:rsid w:val="00436AC5"/>
    <w:rsid w:val="004B38DE"/>
    <w:rsid w:val="00501C6E"/>
    <w:rsid w:val="0051102F"/>
    <w:rsid w:val="0054477C"/>
    <w:rsid w:val="00572BA1"/>
    <w:rsid w:val="00591DE7"/>
    <w:rsid w:val="0059328B"/>
    <w:rsid w:val="005B49AC"/>
    <w:rsid w:val="005C201A"/>
    <w:rsid w:val="005E2F63"/>
    <w:rsid w:val="005F4BA1"/>
    <w:rsid w:val="00622A23"/>
    <w:rsid w:val="006864A0"/>
    <w:rsid w:val="00687A1B"/>
    <w:rsid w:val="006F0606"/>
    <w:rsid w:val="0070363A"/>
    <w:rsid w:val="007306BA"/>
    <w:rsid w:val="00784CC4"/>
    <w:rsid w:val="00785189"/>
    <w:rsid w:val="00795B06"/>
    <w:rsid w:val="007B05CF"/>
    <w:rsid w:val="0080619C"/>
    <w:rsid w:val="00835D06"/>
    <w:rsid w:val="00886177"/>
    <w:rsid w:val="008A6300"/>
    <w:rsid w:val="008B5A2A"/>
    <w:rsid w:val="008D35B0"/>
    <w:rsid w:val="008E3568"/>
    <w:rsid w:val="009B68C2"/>
    <w:rsid w:val="009F1E43"/>
    <w:rsid w:val="00A57A5F"/>
    <w:rsid w:val="00A8491B"/>
    <w:rsid w:val="00AA44A3"/>
    <w:rsid w:val="00AE300F"/>
    <w:rsid w:val="00AE6485"/>
    <w:rsid w:val="00B32FDC"/>
    <w:rsid w:val="00B65FD7"/>
    <w:rsid w:val="00B94101"/>
    <w:rsid w:val="00C12D13"/>
    <w:rsid w:val="00C72C21"/>
    <w:rsid w:val="00CB00E7"/>
    <w:rsid w:val="00CC5205"/>
    <w:rsid w:val="00CE6660"/>
    <w:rsid w:val="00D10F22"/>
    <w:rsid w:val="00D56F44"/>
    <w:rsid w:val="00DF1908"/>
    <w:rsid w:val="00E523A4"/>
    <w:rsid w:val="00E60813"/>
    <w:rsid w:val="00E64308"/>
    <w:rsid w:val="00ED35E2"/>
    <w:rsid w:val="00EE37EA"/>
    <w:rsid w:val="00EF0ACD"/>
    <w:rsid w:val="00F274A6"/>
    <w:rsid w:val="00F503FD"/>
    <w:rsid w:val="00F77323"/>
    <w:rsid w:val="00F8556F"/>
    <w:rsid w:val="00F86371"/>
    <w:rsid w:val="00F9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9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914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tinent24.ru/files/Docs/2012/2011-11-08%20438-&#1090;%20&#1061;&#1042;&#1057;+&#1074;&#1086;&#1076;&#1086;&#1086;&#1090;&#1074;&#1077;&#1076;&#1077;&#1085;&#1080;&#1077;%20(&#1052;&#1080;&#1085;%20&#1046;&#1050;&#1061;%20&#1050;&#1050;).rtf" TargetMode="External"/><Relationship Id="rId13" Type="http://schemas.openxmlformats.org/officeDocument/2006/relationships/hyperlink" Target="http://kontinent24.ru/files/Docs/2011/2011%20&#1052;&#1077;&#1090;&#1086;&#1076;&#1080;&#1082;&#1072;.doc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kontinent24.ru/files/Docs/2012/2011-12-13%20559-&#1087;%20&#1056;&#1069;&#1050;%20&#1090;&#1077;&#1087;&#1083;&#1086;&#1085;&#1086;&#1089;&#1080;&#1090;&#1077;&#1083;&#1100;.rtf" TargetMode="External"/><Relationship Id="rId12" Type="http://schemas.openxmlformats.org/officeDocument/2006/relationships/hyperlink" Target="http://kontinent24.ru/files/Docs/2012/2011-12-19%20568-&#1087;%20&#1056;&#1069;&#1050;%20&#1101;&#1083;&#1077;&#1082;&#1090;&#1088;&#1086;%20&#1090;&#1072;&#1088;&#1080;&#1092;&#1099;.rt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kontinent24.ru/files/Docs/2012/2011-11-14%20446-&#1087;%20&#1056;&#1069;&#1050;%20&#1090;&#1077;&#1087;&#1083;&#1086;%20&#1058;&#1043;&#1050;-13.rtf" TargetMode="External"/><Relationship Id="rId11" Type="http://schemas.openxmlformats.org/officeDocument/2006/relationships/hyperlink" Target="http://kontinent24.ru/files/Docs/2010/2009-12-22%208-133%20&#1061;&#1042;&#1057;+&#1074;&#1086;&#1076;&#1086;&#1086;&#1090;&#1074;&#1077;&#1076;&#1077;&#1085;&#1080;&#1077;%20&#1085;&#1072;&#1076;&#1073;&#1072;&#1074;&#1082;&#1072;%20(&#1043;&#1086;&#1088;&#1057;&#1086;&#1074;&#1077;&#1090;)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ontinent24.ru/files/Docs/2012/2011-11-08%20438-&#1090;%20&#1061;&#1042;&#1057;+&#1074;&#1086;&#1076;&#1086;&#1086;&#1090;&#1074;&#1077;&#1076;&#1077;&#1085;&#1080;&#1077;%20(&#1052;&#1080;&#1085;%20&#1046;&#1050;&#1061;%20&#1050;&#1050;)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tinent24.ru/files/Docs/2010/2009-12-22%208-133%20&#1061;&#1042;&#1057;+&#1074;&#1086;&#1076;&#1086;&#1086;&#1090;&#1074;&#1077;&#1076;&#1077;&#1085;&#1080;&#1077;%20&#1085;&#1072;&#1076;&#1073;&#1072;&#1074;&#1082;&#1072;%20(&#1043;&#1086;&#1088;&#1057;&#1086;&#1074;&#1077;&#1090;)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105A10-3AB8-4F30-BB91-149DCD10EFAA}"/>
</file>

<file path=customXml/itemProps2.xml><?xml version="1.0" encoding="utf-8"?>
<ds:datastoreItem xmlns:ds="http://schemas.openxmlformats.org/officeDocument/2006/customXml" ds:itemID="{FD027FA1-B538-4BE7-A0DD-2DE8BF16E057}"/>
</file>

<file path=customXml/itemProps3.xml><?xml version="1.0" encoding="utf-8"?>
<ds:datastoreItem xmlns:ds="http://schemas.openxmlformats.org/officeDocument/2006/customXml" ds:itemID="{907A91DE-11E8-4C4B-A197-E1D5A9A52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dcterms:created xsi:type="dcterms:W3CDTF">2012-10-02T07:13:00Z</dcterms:created>
  <dcterms:modified xsi:type="dcterms:W3CDTF">2012-10-02T07:27:00Z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