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 xml:space="preserve">за </w:t>
      </w:r>
      <w:r w:rsidR="00B617F9" w:rsidRPr="00B617F9">
        <w:t xml:space="preserve">1 полугодие </w:t>
      </w:r>
      <w:r>
        <w:t>20</w:t>
      </w:r>
      <w:r w:rsidR="00126000">
        <w:t>20</w:t>
      </w:r>
      <w:r>
        <w:t xml:space="preserve"> года (на 01.0</w:t>
      </w:r>
      <w:r w:rsidR="00B617F9">
        <w:t>7</w:t>
      </w:r>
      <w:r>
        <w:t>.20</w:t>
      </w:r>
      <w:r w:rsidR="00126000">
        <w:t>20</w:t>
      </w:r>
      <w:bookmarkStart w:id="0" w:name="_GoBack"/>
      <w:bookmarkEnd w:id="0"/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126000" w:rsidRPr="00126000" w:rsidRDefault="00126000" w:rsidP="0012600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126000">
        <w:rPr>
          <w:rFonts w:ascii="Times New Roman" w:hAnsi="Times New Roman" w:cs="Times New Roman"/>
          <w:color w:val="auto"/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1 полугодие 2020 года составила 29 438 человек.</w:t>
      </w:r>
    </w:p>
    <w:p w:rsidR="00502C77" w:rsidRDefault="00126000" w:rsidP="00126000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6000">
        <w:rPr>
          <w:rFonts w:ascii="Times New Roman" w:hAnsi="Times New Roman" w:cs="Times New Roman"/>
          <w:color w:val="auto"/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1 полугодие 2020 года без учета уплаты страховых взносов составили 6 708,5 млн. рублей (за счет всех источников).</w:t>
      </w:r>
    </w:p>
    <w:p w:rsidR="008A7EDE" w:rsidRDefault="008A7EDE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8A7EDE" w:rsidSect="00B617F9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26000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A7EDE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7F9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E41445-8D45-4CBB-9E7F-6C2C02A9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2020-07-23T02:44:00Z</dcterms:created>
  <dcterms:modified xsi:type="dcterms:W3CDTF">2020-07-23T02:44:00Z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