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37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theme/theme1.xml" ContentType="application/vnd.openxmlformats-officedocument.theme+xml"/>
  <Override PartName="/word/charts/chart29.xml" ContentType="application/vnd.openxmlformats-officedocument.drawingml.chart+xml"/>
  <Override PartName="/word/charts/chart28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32.xml" ContentType="application/vnd.openxmlformats-officedocument.drawingml.chart+xml"/>
  <Override PartName="/word/charts/chart34.xml" ContentType="application/vnd.openxmlformats-officedocument.drawingml.chart+xml"/>
  <Override PartName="/word/charts/chart8.xml" ContentType="application/vnd.openxmlformats-officedocument.drawingml.chart+xml"/>
  <Override PartName="/word/charts/chart7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2.xml" ContentType="application/vnd.openxmlformats-officedocument.drawingml.chart+xml"/>
  <Override PartName="/word/charts/chart11.xml" ContentType="application/vnd.openxmlformats-officedocument.drawingml.chart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21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6.xml" ContentType="application/vnd.openxmlformats-officedocument.drawingml.chart+xml"/>
  <Override PartName="/word/charts/chart25.xml" ContentType="application/vnd.openxmlformats-officedocument.drawingml.chart+xml"/>
  <Override PartName="/word/charts/chart20.xml" ContentType="application/vnd.openxmlformats-officedocument.drawingml.chart+xml"/>
  <Override PartName="/word/charts/chart15.xml" ContentType="application/vnd.openxmlformats-officedocument.drawingml.chart+xml"/>
  <Override PartName="/word/charts/chart14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9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F31" w:rsidRPr="00DE20E4" w:rsidRDefault="00AD7D1D" w:rsidP="00AD7D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0E4">
        <w:rPr>
          <w:rFonts w:ascii="Times New Roman" w:hAnsi="Times New Roman" w:cs="Times New Roman"/>
          <w:b/>
          <w:sz w:val="28"/>
          <w:szCs w:val="28"/>
        </w:rPr>
        <w:t xml:space="preserve">Информация о городе Красноярске в сравнении </w:t>
      </w:r>
      <w:proofErr w:type="gramStart"/>
      <w:r w:rsidRPr="00DE20E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DE20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7D1D" w:rsidRPr="00DE20E4" w:rsidRDefault="00AD7D1D" w:rsidP="00AD7D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0E4">
        <w:rPr>
          <w:rFonts w:ascii="Times New Roman" w:hAnsi="Times New Roman" w:cs="Times New Roman"/>
          <w:b/>
          <w:sz w:val="28"/>
          <w:szCs w:val="28"/>
        </w:rPr>
        <w:t>городами-</w:t>
      </w:r>
      <w:proofErr w:type="spellStart"/>
      <w:r w:rsidRPr="00DE20E4">
        <w:rPr>
          <w:rFonts w:ascii="Times New Roman" w:hAnsi="Times New Roman" w:cs="Times New Roman"/>
          <w:b/>
          <w:sz w:val="28"/>
          <w:szCs w:val="28"/>
        </w:rPr>
        <w:t>миллиониками</w:t>
      </w:r>
      <w:proofErr w:type="spellEnd"/>
      <w:r w:rsidRPr="00DE20E4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BC5F8E" w:rsidRPr="00DE20E4">
        <w:rPr>
          <w:rFonts w:ascii="Times New Roman" w:hAnsi="Times New Roman" w:cs="Times New Roman"/>
          <w:b/>
          <w:sz w:val="28"/>
          <w:szCs w:val="28"/>
        </w:rPr>
        <w:t xml:space="preserve">2022-2024 годы и </w:t>
      </w:r>
      <w:r w:rsidR="00BC5F8E" w:rsidRPr="00DE20E4">
        <w:rPr>
          <w:rFonts w:ascii="Times New Roman" w:hAnsi="Times New Roman" w:cs="Times New Roman"/>
          <w:b/>
          <w:sz w:val="28"/>
          <w:szCs w:val="28"/>
        </w:rPr>
        <w:br/>
        <w:t xml:space="preserve">за </w:t>
      </w:r>
      <w:r w:rsidR="0066451F" w:rsidRPr="00DE20E4">
        <w:rPr>
          <w:rFonts w:ascii="Times New Roman" w:hAnsi="Times New Roman" w:cs="Times New Roman"/>
          <w:b/>
          <w:sz w:val="28"/>
          <w:szCs w:val="28"/>
        </w:rPr>
        <w:t>январь-</w:t>
      </w:r>
      <w:r w:rsidR="00A1307B" w:rsidRPr="00DE20E4">
        <w:rPr>
          <w:rFonts w:ascii="Times New Roman" w:hAnsi="Times New Roman" w:cs="Times New Roman"/>
          <w:b/>
          <w:sz w:val="28"/>
          <w:szCs w:val="28"/>
        </w:rPr>
        <w:t>сентябр</w:t>
      </w:r>
      <w:r w:rsidR="003C0DEE" w:rsidRPr="00DE20E4">
        <w:rPr>
          <w:rFonts w:ascii="Times New Roman" w:hAnsi="Times New Roman" w:cs="Times New Roman"/>
          <w:b/>
          <w:sz w:val="28"/>
          <w:szCs w:val="28"/>
        </w:rPr>
        <w:t>ь</w:t>
      </w:r>
      <w:r w:rsidR="0066451F" w:rsidRPr="00DE20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20E4">
        <w:rPr>
          <w:rFonts w:ascii="Times New Roman" w:hAnsi="Times New Roman" w:cs="Times New Roman"/>
          <w:b/>
          <w:sz w:val="28"/>
          <w:szCs w:val="28"/>
        </w:rPr>
        <w:t>202</w:t>
      </w:r>
      <w:r w:rsidR="00053F54" w:rsidRPr="00DE20E4">
        <w:rPr>
          <w:rFonts w:ascii="Times New Roman" w:hAnsi="Times New Roman" w:cs="Times New Roman"/>
          <w:b/>
          <w:sz w:val="28"/>
          <w:szCs w:val="28"/>
        </w:rPr>
        <w:t>5</w:t>
      </w:r>
      <w:r w:rsidRPr="00DE20E4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F62989" w:rsidRPr="00DE20E4">
        <w:rPr>
          <w:rFonts w:ascii="Times New Roman" w:hAnsi="Times New Roman" w:cs="Times New Roman"/>
          <w:b/>
          <w:sz w:val="28"/>
          <w:szCs w:val="28"/>
        </w:rPr>
        <w:t>а</w:t>
      </w:r>
    </w:p>
    <w:p w:rsidR="00AB5F28" w:rsidRPr="00DE20E4" w:rsidRDefault="00AB5F28" w:rsidP="007E6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3F495E" w:rsidRPr="003F495E" w:rsidRDefault="003F495E" w:rsidP="003F49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95E">
        <w:rPr>
          <w:rFonts w:ascii="Times New Roman" w:hAnsi="Times New Roman" w:cs="Times New Roman"/>
          <w:sz w:val="28"/>
          <w:szCs w:val="28"/>
        </w:rPr>
        <w:t xml:space="preserve">В данном анализе рассматриваются социально-экономические показатели </w:t>
      </w:r>
      <w:r w:rsidRPr="003F495E">
        <w:rPr>
          <w:rFonts w:ascii="Times New Roman" w:hAnsi="Times New Roman" w:cs="Times New Roman"/>
          <w:sz w:val="28"/>
          <w:szCs w:val="28"/>
        </w:rPr>
        <w:br/>
        <w:t xml:space="preserve">14 крупнейших городов России (исключая Москву и Санкт-Петербург) </w:t>
      </w:r>
      <w:r w:rsidRPr="003F495E">
        <w:rPr>
          <w:rFonts w:ascii="Times New Roman" w:hAnsi="Times New Roman" w:cs="Times New Roman"/>
          <w:sz w:val="28"/>
          <w:szCs w:val="28"/>
        </w:rPr>
        <w:br/>
        <w:t>за период с 2022 по 2025 годы. Особое внимание уделено положению Красноярска на фоне других городов-</w:t>
      </w:r>
      <w:proofErr w:type="spellStart"/>
      <w:r w:rsidRPr="003F495E">
        <w:rPr>
          <w:rFonts w:ascii="Times New Roman" w:hAnsi="Times New Roman" w:cs="Times New Roman"/>
          <w:sz w:val="28"/>
          <w:szCs w:val="28"/>
        </w:rPr>
        <w:t>миллионников</w:t>
      </w:r>
      <w:proofErr w:type="spellEnd"/>
      <w:r w:rsidRPr="003F495E">
        <w:rPr>
          <w:rFonts w:ascii="Times New Roman" w:hAnsi="Times New Roman" w:cs="Times New Roman"/>
          <w:sz w:val="28"/>
          <w:szCs w:val="28"/>
        </w:rPr>
        <w:t>.</w:t>
      </w:r>
    </w:p>
    <w:p w:rsidR="003F495E" w:rsidRPr="004671C1" w:rsidRDefault="003F495E" w:rsidP="003F495E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1C1">
        <w:rPr>
          <w:rFonts w:ascii="Times New Roman" w:hAnsi="Times New Roman" w:cs="Times New Roman"/>
          <w:sz w:val="28"/>
          <w:szCs w:val="28"/>
        </w:rPr>
        <w:t xml:space="preserve">До проведения переписи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4671C1">
        <w:rPr>
          <w:rFonts w:ascii="Times New Roman" w:hAnsi="Times New Roman" w:cs="Times New Roman"/>
          <w:sz w:val="28"/>
          <w:szCs w:val="28"/>
        </w:rPr>
        <w:t xml:space="preserve">2021 года Красноярск </w:t>
      </w:r>
      <w:r>
        <w:rPr>
          <w:rFonts w:ascii="Times New Roman" w:hAnsi="Times New Roman" w:cs="Times New Roman"/>
          <w:sz w:val="28"/>
          <w:szCs w:val="28"/>
        </w:rPr>
        <w:br/>
      </w:r>
      <w:r w:rsidRPr="004671C1">
        <w:rPr>
          <w:rFonts w:ascii="Times New Roman" w:hAnsi="Times New Roman" w:cs="Times New Roman"/>
          <w:b/>
          <w:sz w:val="28"/>
          <w:szCs w:val="28"/>
        </w:rPr>
        <w:t>по численности населения</w:t>
      </w:r>
      <w:r w:rsidRPr="004671C1">
        <w:rPr>
          <w:rFonts w:ascii="Times New Roman" w:hAnsi="Times New Roman" w:cs="Times New Roman"/>
          <w:sz w:val="28"/>
          <w:szCs w:val="28"/>
        </w:rPr>
        <w:t xml:space="preserve"> среди городов-</w:t>
      </w:r>
      <w:proofErr w:type="spellStart"/>
      <w:r w:rsidRPr="004671C1">
        <w:rPr>
          <w:rFonts w:ascii="Times New Roman" w:hAnsi="Times New Roman" w:cs="Times New Roman"/>
          <w:sz w:val="28"/>
          <w:szCs w:val="28"/>
        </w:rPr>
        <w:t>миллионников</w:t>
      </w:r>
      <w:proofErr w:type="spellEnd"/>
      <w:r w:rsidRPr="004671C1">
        <w:rPr>
          <w:rFonts w:ascii="Times New Roman" w:hAnsi="Times New Roman" w:cs="Times New Roman"/>
          <w:sz w:val="28"/>
          <w:szCs w:val="28"/>
        </w:rPr>
        <w:t xml:space="preserve"> занимал 10 место. Однако, после учета результатов переписи, по данным на начало 2023  года город поднялся на 6 место, обогнав Уфу, Челябинск, Самару, Ростов-на-Дону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4671C1">
        <w:rPr>
          <w:rFonts w:ascii="Times New Roman" w:hAnsi="Times New Roman" w:cs="Times New Roman"/>
          <w:sz w:val="28"/>
          <w:szCs w:val="28"/>
        </w:rPr>
        <w:t xml:space="preserve">и Омск. </w:t>
      </w:r>
    </w:p>
    <w:p w:rsidR="00E763D3" w:rsidRPr="00E763D3" w:rsidRDefault="00E763D3" w:rsidP="003F4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3D3">
        <w:rPr>
          <w:rFonts w:ascii="Times New Roman" w:hAnsi="Times New Roman" w:cs="Times New Roman"/>
          <w:sz w:val="28"/>
          <w:szCs w:val="28"/>
        </w:rPr>
        <w:t>Эта позиция сохранилась</w:t>
      </w:r>
      <w:r>
        <w:rPr>
          <w:rFonts w:ascii="Times New Roman" w:hAnsi="Times New Roman" w:cs="Times New Roman"/>
          <w:sz w:val="28"/>
          <w:szCs w:val="28"/>
        </w:rPr>
        <w:t xml:space="preserve"> за Красноярском</w:t>
      </w:r>
      <w:r w:rsidRPr="00E763D3">
        <w:rPr>
          <w:rFonts w:ascii="Times New Roman" w:hAnsi="Times New Roman" w:cs="Times New Roman"/>
          <w:sz w:val="28"/>
          <w:szCs w:val="28"/>
        </w:rPr>
        <w:t xml:space="preserve"> и на начало 2025 года. В масштабах </w:t>
      </w:r>
      <w:r w:rsidR="003F495E" w:rsidRPr="004671C1">
        <w:rPr>
          <w:rFonts w:ascii="Times New Roman" w:hAnsi="Times New Roman" w:cs="Times New Roman"/>
          <w:sz w:val="28"/>
          <w:szCs w:val="28"/>
        </w:rPr>
        <w:t>С</w:t>
      </w:r>
      <w:r w:rsidR="003F495E">
        <w:rPr>
          <w:rFonts w:ascii="Times New Roman" w:hAnsi="Times New Roman" w:cs="Times New Roman"/>
          <w:sz w:val="28"/>
          <w:szCs w:val="28"/>
        </w:rPr>
        <w:t>ибирского федерального округа</w:t>
      </w:r>
      <w:r w:rsidR="003F495E" w:rsidRPr="004671C1">
        <w:rPr>
          <w:rFonts w:ascii="Times New Roman" w:hAnsi="Times New Roman" w:cs="Times New Roman"/>
          <w:sz w:val="28"/>
          <w:szCs w:val="28"/>
        </w:rPr>
        <w:t xml:space="preserve"> </w:t>
      </w:r>
      <w:r w:rsidR="003F495E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Pr="00E763D3">
        <w:rPr>
          <w:rFonts w:ascii="Times New Roman" w:hAnsi="Times New Roman" w:cs="Times New Roman"/>
          <w:sz w:val="28"/>
          <w:szCs w:val="28"/>
        </w:rPr>
        <w:t>СФО</w:t>
      </w:r>
      <w:r w:rsidR="003F495E">
        <w:rPr>
          <w:rFonts w:ascii="Times New Roman" w:hAnsi="Times New Roman" w:cs="Times New Roman"/>
          <w:sz w:val="28"/>
          <w:szCs w:val="28"/>
        </w:rPr>
        <w:t>)</w:t>
      </w:r>
      <w:r w:rsidRPr="00E763D3">
        <w:rPr>
          <w:rFonts w:ascii="Times New Roman" w:hAnsi="Times New Roman" w:cs="Times New Roman"/>
          <w:sz w:val="28"/>
          <w:szCs w:val="28"/>
        </w:rPr>
        <w:t xml:space="preserve"> Красноярск занимает второе место по численности населения.</w:t>
      </w:r>
    </w:p>
    <w:p w:rsidR="00DB7129" w:rsidRDefault="00DB7129" w:rsidP="00DB7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F91FE" wp14:editId="62608EB8">
            <wp:extent cx="6543675" cy="21812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F41CC" w:rsidRDefault="003F41CC" w:rsidP="00FD7F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28"/>
        </w:rPr>
      </w:pPr>
    </w:p>
    <w:p w:rsidR="003F41CC" w:rsidRDefault="00F46981" w:rsidP="00F46981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6BC7D372" wp14:editId="6C07BBF1">
            <wp:extent cx="4381500" cy="2409825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F41CC" w:rsidRPr="00161530" w:rsidRDefault="003F41CC" w:rsidP="00FD7F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28"/>
        </w:rPr>
      </w:pPr>
    </w:p>
    <w:p w:rsidR="00FD7F92" w:rsidRPr="003F495E" w:rsidRDefault="003F495E" w:rsidP="003F495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495E">
        <w:rPr>
          <w:rFonts w:ascii="Times New Roman" w:hAnsi="Times New Roman" w:cs="Times New Roman"/>
          <w:i/>
          <w:sz w:val="28"/>
          <w:szCs w:val="28"/>
        </w:rPr>
        <w:t xml:space="preserve">В соответствии с распоряжением Правительства Российской Федерации 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F495E">
        <w:rPr>
          <w:rFonts w:ascii="Times New Roman" w:hAnsi="Times New Roman" w:cs="Times New Roman"/>
          <w:i/>
          <w:sz w:val="28"/>
          <w:szCs w:val="28"/>
        </w:rPr>
        <w:t>от 25.12.2025 № 4039-р «Об официальном статистическом учете и системе государственной статистики в Российской Федерации»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495E">
        <w:rPr>
          <w:rFonts w:ascii="Times New Roman" w:hAnsi="Times New Roman" w:cs="Times New Roman"/>
          <w:b/>
          <w:i/>
          <w:sz w:val="28"/>
          <w:szCs w:val="28"/>
        </w:rPr>
        <w:t xml:space="preserve">представление 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F495E">
        <w:rPr>
          <w:rFonts w:ascii="Times New Roman" w:hAnsi="Times New Roman" w:cs="Times New Roman"/>
          <w:b/>
          <w:i/>
          <w:sz w:val="28"/>
          <w:szCs w:val="28"/>
        </w:rPr>
        <w:t>и распространение статистических данных о численности, естественном движении и миграционном движении населения приостановлено</w:t>
      </w:r>
      <w:r w:rsidRPr="003F495E">
        <w:rPr>
          <w:rFonts w:ascii="Times New Roman" w:hAnsi="Times New Roman" w:cs="Times New Roman"/>
          <w:i/>
          <w:sz w:val="28"/>
          <w:szCs w:val="28"/>
        </w:rPr>
        <w:t>, в этой связи анализ по демографическим показателям включает периоды 2022-2024 годов.</w:t>
      </w:r>
    </w:p>
    <w:p w:rsidR="001B2381" w:rsidRPr="00CD211B" w:rsidRDefault="00194BD9" w:rsidP="001B238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BD9">
        <w:rPr>
          <w:rFonts w:ascii="Times New Roman" w:hAnsi="Times New Roman" w:cs="Times New Roman"/>
          <w:sz w:val="28"/>
          <w:szCs w:val="28"/>
        </w:rPr>
        <w:t xml:space="preserve">В период с 2022 по 2023 годы Красноярск занимал 6 место </w:t>
      </w:r>
      <w:r w:rsidR="003F495E">
        <w:rPr>
          <w:rFonts w:ascii="Times New Roman" w:hAnsi="Times New Roman" w:cs="Times New Roman"/>
          <w:sz w:val="28"/>
          <w:szCs w:val="28"/>
        </w:rPr>
        <w:br/>
      </w:r>
      <w:r w:rsidRPr="00194BD9">
        <w:rPr>
          <w:rFonts w:ascii="Times New Roman" w:hAnsi="Times New Roman" w:cs="Times New Roman"/>
          <w:sz w:val="28"/>
          <w:szCs w:val="28"/>
        </w:rPr>
        <w:t xml:space="preserve">по </w:t>
      </w:r>
      <w:r w:rsidRPr="00194BD9">
        <w:rPr>
          <w:rFonts w:ascii="Times New Roman" w:hAnsi="Times New Roman" w:cs="Times New Roman"/>
          <w:b/>
          <w:sz w:val="28"/>
          <w:szCs w:val="28"/>
        </w:rPr>
        <w:t>коэффициенту рождаемости на тысячу населения</w:t>
      </w:r>
      <w:r w:rsidRPr="00194BD9">
        <w:rPr>
          <w:rFonts w:ascii="Times New Roman" w:hAnsi="Times New Roman" w:cs="Times New Roman"/>
          <w:sz w:val="28"/>
          <w:szCs w:val="28"/>
        </w:rPr>
        <w:t>, а по итогам 2024 года опустился на 7 место. В СФО он стабильно находится на второй</w:t>
      </w:r>
      <w:r>
        <w:rPr>
          <w:rFonts w:ascii="Times New Roman" w:hAnsi="Times New Roman" w:cs="Times New Roman"/>
          <w:sz w:val="28"/>
          <w:szCs w:val="28"/>
        </w:rPr>
        <w:t xml:space="preserve"> позиции. </w:t>
      </w:r>
    </w:p>
    <w:p w:rsidR="001B2381" w:rsidRPr="00863E2D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p w:rsidR="001B2381" w:rsidRDefault="001B2381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27E9C" wp14:editId="0D201126">
            <wp:extent cx="6467475" cy="17526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77FA8" w:rsidRDefault="00F77FA8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260AF622" wp14:editId="0D914B19">
            <wp:extent cx="4381500" cy="1952625"/>
            <wp:effectExtent l="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5967" w:rsidRPr="00863E2D" w:rsidRDefault="00575967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381" w:rsidRPr="00CE0007" w:rsidRDefault="001522DD" w:rsidP="001B238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2DD">
        <w:rPr>
          <w:rFonts w:ascii="Times New Roman" w:hAnsi="Times New Roman" w:cs="Times New Roman"/>
          <w:sz w:val="28"/>
          <w:szCs w:val="28"/>
        </w:rPr>
        <w:t xml:space="preserve">Ситуация с </w:t>
      </w:r>
      <w:r w:rsidRPr="00051209">
        <w:rPr>
          <w:rFonts w:ascii="Times New Roman" w:hAnsi="Times New Roman" w:cs="Times New Roman"/>
          <w:b/>
          <w:sz w:val="28"/>
          <w:szCs w:val="28"/>
        </w:rPr>
        <w:t>коэффициентом смертности</w:t>
      </w:r>
      <w:r w:rsidRPr="001522DD">
        <w:rPr>
          <w:rFonts w:ascii="Times New Roman" w:hAnsi="Times New Roman" w:cs="Times New Roman"/>
          <w:sz w:val="28"/>
          <w:szCs w:val="28"/>
        </w:rPr>
        <w:t xml:space="preserve"> демонстрирует положительную динамику. В 2022 году город занимал 3 место</w:t>
      </w:r>
      <w:r w:rsidR="005D737F" w:rsidRPr="00CE00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D211B" w:rsidRPr="00CE0007">
        <w:rPr>
          <w:rFonts w:ascii="Times New Roman" w:hAnsi="Times New Roman" w:cs="Times New Roman"/>
          <w:sz w:val="28"/>
          <w:szCs w:val="28"/>
        </w:rPr>
        <w:t xml:space="preserve"> 2023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211B" w:rsidRPr="00CE0007">
        <w:rPr>
          <w:rFonts w:ascii="Times New Roman" w:hAnsi="Times New Roman" w:cs="Times New Roman"/>
          <w:sz w:val="28"/>
          <w:szCs w:val="28"/>
        </w:rPr>
        <w:t xml:space="preserve"> </w:t>
      </w:r>
      <w:r w:rsidR="00CE0007" w:rsidRPr="00CE0007">
        <w:rPr>
          <w:rFonts w:ascii="Times New Roman" w:hAnsi="Times New Roman" w:cs="Times New Roman"/>
          <w:sz w:val="28"/>
          <w:szCs w:val="28"/>
        </w:rPr>
        <w:t xml:space="preserve">– </w:t>
      </w:r>
      <w:r w:rsidR="00D040DF" w:rsidRPr="00CE0007">
        <w:rPr>
          <w:rFonts w:ascii="Times New Roman" w:hAnsi="Times New Roman" w:cs="Times New Roman"/>
          <w:sz w:val="28"/>
          <w:szCs w:val="28"/>
        </w:rPr>
        <w:t>2</w:t>
      </w:r>
      <w:r w:rsidR="00CD211B" w:rsidRPr="00CE0007">
        <w:rPr>
          <w:rFonts w:ascii="Times New Roman" w:hAnsi="Times New Roman" w:cs="Times New Roman"/>
          <w:sz w:val="28"/>
          <w:szCs w:val="28"/>
        </w:rPr>
        <w:t xml:space="preserve"> место, уступая</w:t>
      </w:r>
      <w:r w:rsidR="00D040DF" w:rsidRPr="00CE00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лишь </w:t>
      </w:r>
      <w:r w:rsidR="00D040DF" w:rsidRPr="00CE0007">
        <w:rPr>
          <w:rFonts w:ascii="Times New Roman" w:hAnsi="Times New Roman" w:cs="Times New Roman"/>
          <w:sz w:val="28"/>
          <w:szCs w:val="28"/>
        </w:rPr>
        <w:t>Казани</w:t>
      </w:r>
      <w:r w:rsidR="00CD211B" w:rsidRPr="00CE0007">
        <w:rPr>
          <w:rFonts w:ascii="Times New Roman" w:hAnsi="Times New Roman" w:cs="Times New Roman"/>
          <w:sz w:val="28"/>
          <w:szCs w:val="28"/>
        </w:rPr>
        <w:t xml:space="preserve">. По итогам </w:t>
      </w:r>
      <w:r w:rsidR="001B2381" w:rsidRPr="00CE0007">
        <w:rPr>
          <w:rFonts w:ascii="Times New Roman" w:hAnsi="Times New Roman" w:cs="Times New Roman"/>
          <w:sz w:val="28"/>
          <w:szCs w:val="28"/>
        </w:rPr>
        <w:t>2024 год</w:t>
      </w:r>
      <w:r w:rsidR="00CD211B" w:rsidRPr="00CE0007">
        <w:rPr>
          <w:rFonts w:ascii="Times New Roman" w:hAnsi="Times New Roman" w:cs="Times New Roman"/>
          <w:sz w:val="28"/>
          <w:szCs w:val="28"/>
        </w:rPr>
        <w:t>а</w:t>
      </w:r>
      <w:r w:rsidR="001B2381" w:rsidRPr="00CE0007">
        <w:rPr>
          <w:rFonts w:ascii="Times New Roman" w:hAnsi="Times New Roman" w:cs="Times New Roman"/>
          <w:sz w:val="28"/>
          <w:szCs w:val="28"/>
        </w:rPr>
        <w:t xml:space="preserve"> </w:t>
      </w:r>
      <w:r w:rsidR="00575967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522DD">
        <w:rPr>
          <w:rFonts w:ascii="Times New Roman" w:hAnsi="Times New Roman" w:cs="Times New Roman"/>
          <w:sz w:val="28"/>
          <w:szCs w:val="28"/>
        </w:rPr>
        <w:t>Красноярск вышел на лидирующую позицию, показав наименьший уровень смертности среди всех городов-</w:t>
      </w:r>
      <w:proofErr w:type="spellStart"/>
      <w:r w:rsidRPr="001522DD">
        <w:rPr>
          <w:rFonts w:ascii="Times New Roman" w:hAnsi="Times New Roman" w:cs="Times New Roman"/>
          <w:sz w:val="28"/>
          <w:szCs w:val="28"/>
        </w:rPr>
        <w:t>миллионников</w:t>
      </w:r>
      <w:proofErr w:type="spellEnd"/>
      <w:r w:rsidRPr="001522DD">
        <w:rPr>
          <w:rFonts w:ascii="Times New Roman" w:hAnsi="Times New Roman" w:cs="Times New Roman"/>
          <w:sz w:val="28"/>
          <w:szCs w:val="28"/>
        </w:rPr>
        <w:t>.</w:t>
      </w:r>
    </w:p>
    <w:p w:rsidR="001B2381" w:rsidRPr="001522DD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1B2381" w:rsidRDefault="001B2381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28F93" wp14:editId="244AD5E4">
            <wp:extent cx="6619875" cy="16287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47A84" w:rsidRPr="00691240" w:rsidRDefault="00F47A84" w:rsidP="00F47A8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00642385" wp14:editId="1CB34E3B">
            <wp:extent cx="4381500" cy="2000250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C6B11" w:rsidRPr="003C6B11" w:rsidRDefault="003C6B11" w:rsidP="003C6B1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11">
        <w:rPr>
          <w:rFonts w:ascii="Times New Roman" w:hAnsi="Times New Roman" w:cs="Times New Roman"/>
          <w:sz w:val="28"/>
          <w:szCs w:val="28"/>
        </w:rPr>
        <w:t xml:space="preserve">В период с 2022 по 2024 годы </w:t>
      </w:r>
      <w:r w:rsidRPr="00051209">
        <w:rPr>
          <w:rFonts w:ascii="Times New Roman" w:hAnsi="Times New Roman" w:cs="Times New Roman"/>
          <w:b/>
          <w:sz w:val="28"/>
          <w:szCs w:val="28"/>
        </w:rPr>
        <w:t>естественный прирост населения</w:t>
      </w:r>
      <w:r w:rsidRPr="003C6B11">
        <w:rPr>
          <w:rFonts w:ascii="Times New Roman" w:hAnsi="Times New Roman" w:cs="Times New Roman"/>
          <w:sz w:val="28"/>
          <w:szCs w:val="28"/>
        </w:rPr>
        <w:t xml:space="preserve"> наблюдался лишь в Краснодаре и Казани. Остальные города, включая Красноярск, фиксировали естественную убыль. Тем не менее, </w:t>
      </w:r>
      <w:r w:rsidR="00575967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3C6B11">
        <w:rPr>
          <w:rFonts w:ascii="Times New Roman" w:hAnsi="Times New Roman" w:cs="Times New Roman"/>
          <w:sz w:val="28"/>
          <w:szCs w:val="28"/>
        </w:rPr>
        <w:t>Красноярск демонстрировал относительно лучшие показатели: 5 место в 2022 году и 4 место в 2023-2024 годах. В СФО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C6B11">
        <w:rPr>
          <w:rFonts w:ascii="Times New Roman" w:hAnsi="Times New Roman" w:cs="Times New Roman"/>
          <w:sz w:val="28"/>
          <w:szCs w:val="28"/>
        </w:rPr>
        <w:t>город занима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C6B11">
        <w:rPr>
          <w:rFonts w:ascii="Times New Roman" w:hAnsi="Times New Roman" w:cs="Times New Roman"/>
          <w:sz w:val="28"/>
          <w:szCs w:val="28"/>
        </w:rPr>
        <w:t xml:space="preserve"> </w:t>
      </w:r>
      <w:r w:rsidR="00913A19">
        <w:rPr>
          <w:rFonts w:ascii="Times New Roman" w:hAnsi="Times New Roman" w:cs="Times New Roman"/>
          <w:sz w:val="28"/>
          <w:szCs w:val="28"/>
        </w:rPr>
        <w:t>1</w:t>
      </w:r>
      <w:r w:rsidRPr="003C6B11">
        <w:rPr>
          <w:rFonts w:ascii="Times New Roman" w:hAnsi="Times New Roman" w:cs="Times New Roman"/>
          <w:sz w:val="28"/>
          <w:szCs w:val="28"/>
        </w:rPr>
        <w:t xml:space="preserve"> место по этому показателю.</w:t>
      </w:r>
    </w:p>
    <w:p w:rsidR="001B2381" w:rsidRPr="00863E2D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1B2381" w:rsidRDefault="001B2381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08D10" wp14:editId="145082C5">
            <wp:extent cx="6477000" cy="23431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2B95" w:rsidRDefault="00B92B95" w:rsidP="00C204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84692" w:rsidRPr="00691240" w:rsidRDefault="00984692" w:rsidP="00984692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655A074A" wp14:editId="49D68C81">
            <wp:extent cx="4381500" cy="2190750"/>
            <wp:effectExtent l="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84692" w:rsidRPr="005D21B7" w:rsidRDefault="00984692" w:rsidP="00C204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C6B11" w:rsidRDefault="003C6B11" w:rsidP="003C6B1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11">
        <w:rPr>
          <w:rFonts w:ascii="Times New Roman" w:hAnsi="Times New Roman" w:cs="Times New Roman"/>
          <w:i/>
          <w:sz w:val="28"/>
          <w:szCs w:val="28"/>
        </w:rPr>
        <w:t>Анализ миграционного движения</w:t>
      </w:r>
      <w:r w:rsidR="005C0F51">
        <w:rPr>
          <w:rFonts w:ascii="Times New Roman" w:hAnsi="Times New Roman" w:cs="Times New Roman"/>
          <w:i/>
          <w:sz w:val="28"/>
          <w:szCs w:val="28"/>
        </w:rPr>
        <w:t xml:space="preserve"> по 13 городам-</w:t>
      </w:r>
      <w:proofErr w:type="spellStart"/>
      <w:r w:rsidR="005C0F51">
        <w:rPr>
          <w:rFonts w:ascii="Times New Roman" w:hAnsi="Times New Roman" w:cs="Times New Roman"/>
          <w:i/>
          <w:sz w:val="28"/>
          <w:szCs w:val="28"/>
        </w:rPr>
        <w:t>миллионникам</w:t>
      </w:r>
      <w:proofErr w:type="spellEnd"/>
      <w:r w:rsidRPr="003C6B11">
        <w:rPr>
          <w:rFonts w:ascii="Times New Roman" w:hAnsi="Times New Roman" w:cs="Times New Roman"/>
          <w:i/>
          <w:sz w:val="28"/>
          <w:szCs w:val="28"/>
        </w:rPr>
        <w:t xml:space="preserve"> выявил следующие тенденции (данные по Ростову-на-Дону </w:t>
      </w:r>
      <w:proofErr w:type="spellStart"/>
      <w:r w:rsidR="00575967" w:rsidRPr="00575967">
        <w:rPr>
          <w:rFonts w:ascii="Times New Roman" w:hAnsi="Times New Roman" w:cs="Times New Roman"/>
          <w:i/>
          <w:sz w:val="28"/>
          <w:szCs w:val="28"/>
        </w:rPr>
        <w:t>Красноярскстатом</w:t>
      </w:r>
      <w:proofErr w:type="spellEnd"/>
      <w:r w:rsidR="00575967" w:rsidRPr="005759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5967">
        <w:rPr>
          <w:rFonts w:ascii="Times New Roman" w:hAnsi="Times New Roman" w:cs="Times New Roman"/>
          <w:i/>
          <w:sz w:val="28"/>
          <w:szCs w:val="28"/>
        </w:rPr>
        <w:br/>
      </w:r>
      <w:r w:rsidR="00575967" w:rsidRPr="00575967">
        <w:rPr>
          <w:rFonts w:ascii="Times New Roman" w:hAnsi="Times New Roman" w:cs="Times New Roman"/>
          <w:i/>
          <w:sz w:val="28"/>
          <w:szCs w:val="28"/>
        </w:rPr>
        <w:t>не представлены)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C6B11" w:rsidRPr="005D21B7" w:rsidRDefault="003C6B11" w:rsidP="003C6B1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4"/>
          <w:szCs w:val="28"/>
        </w:rPr>
      </w:pPr>
    </w:p>
    <w:p w:rsidR="00BA5F97" w:rsidRDefault="003C6B11" w:rsidP="001B238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C6B11">
        <w:rPr>
          <w:rFonts w:ascii="Times New Roman" w:hAnsi="Times New Roman" w:cs="Times New Roman"/>
          <w:sz w:val="28"/>
          <w:szCs w:val="28"/>
        </w:rPr>
        <w:t xml:space="preserve"> 2022 и 2023 годах Красноярск лидировал по </w:t>
      </w:r>
      <w:r w:rsidRPr="003C6B11">
        <w:rPr>
          <w:rFonts w:ascii="Times New Roman" w:hAnsi="Times New Roman" w:cs="Times New Roman"/>
          <w:b/>
          <w:sz w:val="28"/>
          <w:szCs w:val="28"/>
        </w:rPr>
        <w:t xml:space="preserve">числу прибывших </w:t>
      </w:r>
      <w:r w:rsidR="00575967">
        <w:rPr>
          <w:rFonts w:ascii="Times New Roman" w:hAnsi="Times New Roman" w:cs="Times New Roman"/>
          <w:b/>
          <w:sz w:val="28"/>
          <w:szCs w:val="28"/>
        </w:rPr>
        <w:br/>
      </w:r>
      <w:r w:rsidRPr="003C6B11">
        <w:rPr>
          <w:rFonts w:ascii="Times New Roman" w:hAnsi="Times New Roman" w:cs="Times New Roman"/>
          <w:b/>
          <w:sz w:val="28"/>
          <w:szCs w:val="28"/>
        </w:rPr>
        <w:t>на тысячу человек</w:t>
      </w:r>
      <w:r w:rsidRPr="003C6B11">
        <w:rPr>
          <w:rFonts w:ascii="Times New Roman" w:hAnsi="Times New Roman" w:cs="Times New Roman"/>
          <w:sz w:val="28"/>
          <w:szCs w:val="28"/>
        </w:rPr>
        <w:t xml:space="preserve">. В 2024 году город несколько сдал позиции, переместившись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 xml:space="preserve">на </w:t>
      </w:r>
      <w:r w:rsidR="00B11B88">
        <w:rPr>
          <w:rFonts w:ascii="Times New Roman" w:hAnsi="Times New Roman" w:cs="Times New Roman"/>
          <w:sz w:val="28"/>
          <w:szCs w:val="28"/>
        </w:rPr>
        <w:t>2</w:t>
      </w:r>
      <w:r w:rsidRPr="003C6B11">
        <w:rPr>
          <w:rFonts w:ascii="Times New Roman" w:hAnsi="Times New Roman" w:cs="Times New Roman"/>
          <w:sz w:val="28"/>
          <w:szCs w:val="28"/>
        </w:rPr>
        <w:t xml:space="preserve"> место, уступая Краснодару</w:t>
      </w:r>
      <w:r w:rsidR="001B2381" w:rsidRPr="00DE20E4">
        <w:rPr>
          <w:rFonts w:ascii="Times New Roman" w:hAnsi="Times New Roman" w:cs="Times New Roman"/>
          <w:sz w:val="28"/>
          <w:szCs w:val="28"/>
        </w:rPr>
        <w:t>.</w:t>
      </w:r>
    </w:p>
    <w:p w:rsidR="001B2381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B11B88" w:rsidRPr="00DE20E4" w:rsidRDefault="00B11B88" w:rsidP="00B11B88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  <w:r w:rsidRPr="00DA1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8DAF8" wp14:editId="3FC51FFB">
            <wp:extent cx="6477000" cy="192405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B5312" w:rsidRDefault="00B11B88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3FC41A2C" wp14:editId="612CE76B">
            <wp:extent cx="4381500" cy="2228850"/>
            <wp:effectExtent l="0" t="0" r="0" b="0"/>
            <wp:docPr id="3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B5312" w:rsidRDefault="008B5312" w:rsidP="001B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381" w:rsidRPr="00BA5F97" w:rsidRDefault="003C6B11" w:rsidP="001B2381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11">
        <w:rPr>
          <w:rFonts w:ascii="Times New Roman" w:hAnsi="Times New Roman" w:cs="Times New Roman"/>
          <w:sz w:val="28"/>
          <w:szCs w:val="28"/>
        </w:rPr>
        <w:t xml:space="preserve">На протяжении всего периода 2022-2024 годов </w:t>
      </w:r>
      <w:r w:rsidR="00575967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3C6B11">
        <w:rPr>
          <w:rFonts w:ascii="Times New Roman" w:hAnsi="Times New Roman" w:cs="Times New Roman"/>
          <w:sz w:val="28"/>
          <w:szCs w:val="28"/>
        </w:rPr>
        <w:t>Красноя</w:t>
      </w:r>
      <w:proofErr w:type="gramStart"/>
      <w:r w:rsidRPr="003C6B11">
        <w:rPr>
          <w:rFonts w:ascii="Times New Roman" w:hAnsi="Times New Roman" w:cs="Times New Roman"/>
          <w:sz w:val="28"/>
          <w:szCs w:val="28"/>
        </w:rPr>
        <w:t>рск ст</w:t>
      </w:r>
      <w:proofErr w:type="gramEnd"/>
      <w:r w:rsidRPr="003C6B11">
        <w:rPr>
          <w:rFonts w:ascii="Times New Roman" w:hAnsi="Times New Roman" w:cs="Times New Roman"/>
          <w:sz w:val="28"/>
          <w:szCs w:val="28"/>
        </w:rPr>
        <w:t xml:space="preserve">абильно занимал последнее, 13 место по </w:t>
      </w:r>
      <w:r w:rsidRPr="003C6B11">
        <w:rPr>
          <w:rFonts w:ascii="Times New Roman" w:hAnsi="Times New Roman" w:cs="Times New Roman"/>
          <w:b/>
          <w:sz w:val="28"/>
          <w:szCs w:val="28"/>
        </w:rPr>
        <w:t>числу выбывших</w:t>
      </w:r>
      <w:r w:rsidRPr="003C6B11">
        <w:rPr>
          <w:rFonts w:ascii="Times New Roman" w:hAnsi="Times New Roman" w:cs="Times New Roman"/>
          <w:sz w:val="28"/>
          <w:szCs w:val="28"/>
        </w:rPr>
        <w:t xml:space="preserve">, что свидетельствует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>о наибольшем оттоке населения.</w:t>
      </w:r>
    </w:p>
    <w:p w:rsidR="001B2381" w:rsidRPr="00BA5F97" w:rsidRDefault="001B2381" w:rsidP="001B2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1B2381" w:rsidRDefault="00915958" w:rsidP="001B238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1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4C348" wp14:editId="79749584">
            <wp:extent cx="6477000" cy="2352675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B5312" w:rsidRDefault="008B5312" w:rsidP="001B238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3519E8C" wp14:editId="7D3C3287">
            <wp:extent cx="4381500" cy="2209800"/>
            <wp:effectExtent l="0" t="0" r="19050" b="19050"/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B5312" w:rsidRPr="00DA1833" w:rsidRDefault="008B5312" w:rsidP="001B238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EF0" w:rsidRDefault="003C6B11" w:rsidP="005D737F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11">
        <w:rPr>
          <w:rFonts w:ascii="Times New Roman" w:hAnsi="Times New Roman" w:cs="Times New Roman"/>
          <w:sz w:val="28"/>
          <w:szCs w:val="28"/>
        </w:rPr>
        <w:t xml:space="preserve">В 2022 году Красноярск занимал 3 место по </w:t>
      </w:r>
      <w:r w:rsidRPr="003C6B11">
        <w:rPr>
          <w:rFonts w:ascii="Times New Roman" w:hAnsi="Times New Roman" w:cs="Times New Roman"/>
          <w:b/>
          <w:sz w:val="28"/>
          <w:szCs w:val="28"/>
        </w:rPr>
        <w:t>миграционному приросту</w:t>
      </w:r>
      <w:r w:rsidRPr="003C6B11">
        <w:rPr>
          <w:rFonts w:ascii="Times New Roman" w:hAnsi="Times New Roman" w:cs="Times New Roman"/>
          <w:sz w:val="28"/>
          <w:szCs w:val="28"/>
        </w:rPr>
        <w:t xml:space="preserve">,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 xml:space="preserve">в 2023 году </w:t>
      </w: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3C6B11">
        <w:rPr>
          <w:rFonts w:ascii="Times New Roman" w:hAnsi="Times New Roman" w:cs="Times New Roman"/>
          <w:sz w:val="28"/>
          <w:szCs w:val="28"/>
        </w:rPr>
        <w:t xml:space="preserve">поднялся на 2 место. Однако в 2024 году рейтинг </w:t>
      </w:r>
      <w:r w:rsidR="00197EF0">
        <w:rPr>
          <w:rFonts w:ascii="Times New Roman" w:hAnsi="Times New Roman" w:cs="Times New Roman"/>
          <w:sz w:val="28"/>
          <w:szCs w:val="28"/>
        </w:rPr>
        <w:t xml:space="preserve">Красноярка </w:t>
      </w:r>
      <w:r w:rsidRPr="003C6B11">
        <w:rPr>
          <w:rFonts w:ascii="Times New Roman" w:hAnsi="Times New Roman" w:cs="Times New Roman"/>
          <w:sz w:val="28"/>
          <w:szCs w:val="28"/>
        </w:rPr>
        <w:t xml:space="preserve">ухудшился, и город опустился на 4 место, пропустив вперед Краснодар, Казань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 xml:space="preserve">и Екатеринбург. В СФО Красноярск занимает первое место по </w:t>
      </w:r>
      <w:r w:rsidR="00197EF0">
        <w:rPr>
          <w:rFonts w:ascii="Times New Roman" w:hAnsi="Times New Roman" w:cs="Times New Roman"/>
          <w:sz w:val="28"/>
          <w:szCs w:val="28"/>
        </w:rPr>
        <w:t>данному показателю</w:t>
      </w:r>
      <w:r w:rsidRPr="003C6B11">
        <w:rPr>
          <w:rFonts w:ascii="Times New Roman" w:hAnsi="Times New Roman" w:cs="Times New Roman"/>
          <w:sz w:val="28"/>
          <w:szCs w:val="28"/>
        </w:rPr>
        <w:t>.</w:t>
      </w:r>
    </w:p>
    <w:p w:rsidR="005D737F" w:rsidRDefault="003C6B11" w:rsidP="00197E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11">
        <w:rPr>
          <w:rFonts w:ascii="Times New Roman" w:hAnsi="Times New Roman" w:cs="Times New Roman"/>
          <w:sz w:val="28"/>
          <w:szCs w:val="28"/>
        </w:rPr>
        <w:t xml:space="preserve">Стоит отметить, что в 2024 году миграционный прирост был зафиксирован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3C6B11">
        <w:rPr>
          <w:rFonts w:ascii="Times New Roman" w:hAnsi="Times New Roman" w:cs="Times New Roman"/>
          <w:sz w:val="28"/>
          <w:szCs w:val="28"/>
        </w:rPr>
        <w:t>во всех городах-</w:t>
      </w:r>
      <w:proofErr w:type="spellStart"/>
      <w:r w:rsidRPr="003C6B11">
        <w:rPr>
          <w:rFonts w:ascii="Times New Roman" w:hAnsi="Times New Roman" w:cs="Times New Roman"/>
          <w:sz w:val="28"/>
          <w:szCs w:val="28"/>
        </w:rPr>
        <w:t>миллионниках</w:t>
      </w:r>
      <w:proofErr w:type="spellEnd"/>
      <w:r w:rsidRPr="003C6B11">
        <w:rPr>
          <w:rFonts w:ascii="Times New Roman" w:hAnsi="Times New Roman" w:cs="Times New Roman"/>
          <w:sz w:val="28"/>
          <w:szCs w:val="28"/>
        </w:rPr>
        <w:t>, кроме Волгограда.</w:t>
      </w:r>
    </w:p>
    <w:p w:rsidR="00197EF0" w:rsidRPr="00197EF0" w:rsidRDefault="00197EF0" w:rsidP="00197E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5D737F" w:rsidRPr="00E82806" w:rsidRDefault="00B92B95" w:rsidP="005D7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D35696" wp14:editId="64AD7C4D">
            <wp:simplePos x="0" y="0"/>
            <wp:positionH relativeFrom="column">
              <wp:posOffset>3810</wp:posOffset>
            </wp:positionH>
            <wp:positionV relativeFrom="paragraph">
              <wp:posOffset>807720</wp:posOffset>
            </wp:positionV>
            <wp:extent cx="6429375" cy="1924050"/>
            <wp:effectExtent l="0" t="0" r="0" b="0"/>
            <wp:wrapNone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82E" w:rsidRPr="003D331C">
        <w:rPr>
          <w:rFonts w:ascii="Times New Roman" w:hAnsi="Times New Roman" w:cs="Times New Roman"/>
          <w:noProof/>
          <w:sz w:val="28"/>
          <w:szCs w:val="28"/>
          <w:shd w:val="clear" w:color="auto" w:fill="FBD4B4" w:themeFill="accent6" w:themeFillTint="66"/>
          <w:lang w:eastAsia="ru-RU"/>
        </w:rPr>
        <w:drawing>
          <wp:inline distT="0" distB="0" distL="0" distR="0" wp14:anchorId="42F522D2" wp14:editId="5145B425">
            <wp:extent cx="6477000" cy="11811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D737F" w:rsidRPr="00E82806" w:rsidRDefault="005D737F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37F" w:rsidRDefault="005D737F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B95" w:rsidRDefault="00B92B95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7EF0" w:rsidRDefault="00197EF0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030DDA" w:rsidRDefault="00030DDA" w:rsidP="00030DDA">
      <w:pPr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11EB8D7E" wp14:editId="149FD31F">
            <wp:extent cx="4381500" cy="2038350"/>
            <wp:effectExtent l="0" t="0" r="19050" b="1905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30DDA" w:rsidRPr="00197EF0" w:rsidRDefault="00030DDA" w:rsidP="005D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B92B95" w:rsidRPr="003D331C" w:rsidRDefault="00B92B95" w:rsidP="00205A6B">
      <w:pPr>
        <w:spacing w:after="0" w:line="240" w:lineRule="auto"/>
        <w:jc w:val="both"/>
        <w:rPr>
          <w:rFonts w:ascii="Times New Roman" w:hAnsi="Times New Roman" w:cs="Times New Roman"/>
          <w:sz w:val="6"/>
          <w:szCs w:val="28"/>
        </w:rPr>
      </w:pPr>
    </w:p>
    <w:p w:rsidR="00104641" w:rsidRDefault="00197EF0" w:rsidP="00FA65D9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EF0">
        <w:rPr>
          <w:rFonts w:ascii="Times New Roman" w:hAnsi="Times New Roman" w:cs="Times New Roman"/>
          <w:sz w:val="28"/>
          <w:szCs w:val="28"/>
        </w:rPr>
        <w:t xml:space="preserve">По показателю </w:t>
      </w:r>
      <w:r w:rsidRPr="00197EF0">
        <w:rPr>
          <w:rFonts w:ascii="Times New Roman" w:hAnsi="Times New Roman" w:cs="Times New Roman"/>
          <w:b/>
          <w:sz w:val="28"/>
          <w:szCs w:val="28"/>
        </w:rPr>
        <w:t xml:space="preserve">среднесписочной численности работников крупных </w:t>
      </w:r>
      <w:r w:rsidR="003E5ADE">
        <w:rPr>
          <w:rFonts w:ascii="Times New Roman" w:hAnsi="Times New Roman" w:cs="Times New Roman"/>
          <w:b/>
          <w:sz w:val="28"/>
          <w:szCs w:val="28"/>
        </w:rPr>
        <w:br/>
      </w:r>
      <w:r w:rsidRPr="00197EF0">
        <w:rPr>
          <w:rFonts w:ascii="Times New Roman" w:hAnsi="Times New Roman" w:cs="Times New Roman"/>
          <w:b/>
          <w:sz w:val="28"/>
          <w:szCs w:val="28"/>
        </w:rPr>
        <w:t>и средних организаций</w:t>
      </w:r>
      <w:r w:rsidRPr="00197EF0">
        <w:rPr>
          <w:rFonts w:ascii="Times New Roman" w:hAnsi="Times New Roman" w:cs="Times New Roman"/>
          <w:sz w:val="28"/>
          <w:szCs w:val="28"/>
        </w:rPr>
        <w:t xml:space="preserve">, </w:t>
      </w:r>
      <w:r w:rsidR="003E5ADE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97EF0">
        <w:rPr>
          <w:rFonts w:ascii="Times New Roman" w:hAnsi="Times New Roman" w:cs="Times New Roman"/>
          <w:sz w:val="28"/>
          <w:szCs w:val="28"/>
        </w:rPr>
        <w:t xml:space="preserve">Красноярск в 2022 году занимал </w:t>
      </w:r>
      <w:r w:rsidRPr="00197EF0">
        <w:rPr>
          <w:rFonts w:ascii="Times New Roman" w:hAnsi="Times New Roman" w:cs="Times New Roman"/>
          <w:sz w:val="28"/>
          <w:szCs w:val="28"/>
        </w:rPr>
        <w:br/>
        <w:t xml:space="preserve">9 место. В 2023 году положение ухудшилось до 13 места, которое сохранилось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197EF0">
        <w:rPr>
          <w:rFonts w:ascii="Times New Roman" w:hAnsi="Times New Roman" w:cs="Times New Roman"/>
          <w:sz w:val="28"/>
          <w:szCs w:val="28"/>
        </w:rPr>
        <w:t xml:space="preserve">и по итогам 2024 года, а также за девять месяцев 2025 года. В СФО город занимает </w:t>
      </w:r>
      <w:r w:rsidR="00073CA7">
        <w:rPr>
          <w:rFonts w:ascii="Times New Roman" w:hAnsi="Times New Roman" w:cs="Times New Roman"/>
          <w:sz w:val="28"/>
          <w:szCs w:val="28"/>
        </w:rPr>
        <w:br/>
      </w:r>
      <w:r w:rsidRPr="00197EF0">
        <w:rPr>
          <w:rFonts w:ascii="Times New Roman" w:hAnsi="Times New Roman" w:cs="Times New Roman"/>
          <w:sz w:val="28"/>
          <w:szCs w:val="28"/>
        </w:rPr>
        <w:t xml:space="preserve">3 место. </w:t>
      </w:r>
    </w:p>
    <w:p w:rsidR="00197EF0" w:rsidRPr="00197EF0" w:rsidRDefault="00197EF0" w:rsidP="00197EF0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0"/>
          <w:szCs w:val="28"/>
        </w:rPr>
      </w:pPr>
    </w:p>
    <w:p w:rsidR="00C430FF" w:rsidRDefault="00C430FF" w:rsidP="00C4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32DA4" wp14:editId="11DAEAC3">
            <wp:extent cx="6477000" cy="19335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D3473" w:rsidRDefault="006D3473" w:rsidP="00C43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60963E0B" wp14:editId="7ED71903">
            <wp:extent cx="4381500" cy="2085975"/>
            <wp:effectExtent l="0" t="0" r="0" b="0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97EF0" w:rsidRDefault="00197EF0" w:rsidP="006D40EB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EF0">
        <w:rPr>
          <w:rFonts w:ascii="Times New Roman" w:hAnsi="Times New Roman" w:cs="Times New Roman"/>
          <w:sz w:val="28"/>
          <w:szCs w:val="28"/>
        </w:rPr>
        <w:t xml:space="preserve">В 2023 году по </w:t>
      </w:r>
      <w:r w:rsidRPr="00197EF0">
        <w:rPr>
          <w:rFonts w:ascii="Times New Roman" w:hAnsi="Times New Roman" w:cs="Times New Roman"/>
          <w:b/>
          <w:sz w:val="28"/>
          <w:szCs w:val="28"/>
        </w:rPr>
        <w:t>числу безработных</w:t>
      </w:r>
      <w:r w:rsidRPr="00197EF0"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="003E5ADE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97EF0">
        <w:rPr>
          <w:rFonts w:ascii="Times New Roman" w:hAnsi="Times New Roman" w:cs="Times New Roman"/>
          <w:sz w:val="28"/>
          <w:szCs w:val="28"/>
        </w:rPr>
        <w:t xml:space="preserve">Красноярск снизился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Pr="00197EF0">
        <w:rPr>
          <w:rFonts w:ascii="Times New Roman" w:hAnsi="Times New Roman" w:cs="Times New Roman"/>
          <w:sz w:val="28"/>
          <w:szCs w:val="28"/>
        </w:rPr>
        <w:t xml:space="preserve">по сравнению с 2022 годом с 11 на 12 место. По итогам 2024 года город опустился на последнее, 14 место. За девять месяцев 2025 года наблюдается незначительное улучшение – 12 место. В СФО Красноярск занимает 3 место по данному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97EF0">
        <w:rPr>
          <w:rFonts w:ascii="Times New Roman" w:hAnsi="Times New Roman" w:cs="Times New Roman"/>
          <w:sz w:val="28"/>
          <w:szCs w:val="28"/>
        </w:rPr>
        <w:t xml:space="preserve">оказателю. </w:t>
      </w:r>
    </w:p>
    <w:p w:rsidR="00BA662F" w:rsidRPr="00BA662F" w:rsidRDefault="00BA662F" w:rsidP="00BA662F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0"/>
          <w:szCs w:val="28"/>
        </w:rPr>
      </w:pPr>
    </w:p>
    <w:p w:rsidR="009C2DD9" w:rsidRPr="009C2DD9" w:rsidRDefault="009C2DD9" w:rsidP="009C2DD9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"/>
          <w:szCs w:val="28"/>
        </w:rPr>
      </w:pPr>
    </w:p>
    <w:p w:rsidR="00BA79E8" w:rsidRDefault="00BA79E8" w:rsidP="00BA7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CF549" wp14:editId="6D0ABF11">
            <wp:extent cx="6477000" cy="19050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D40EB" w:rsidRDefault="006D40EB" w:rsidP="00BA79E8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CA6992" w:rsidRDefault="00CA6992" w:rsidP="00BA79E8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1566EF40" wp14:editId="28F52104">
            <wp:extent cx="4381500" cy="2085975"/>
            <wp:effectExtent l="0" t="0" r="0" b="0"/>
            <wp:docPr id="2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A6992" w:rsidRPr="003D331C" w:rsidRDefault="00CA6992" w:rsidP="00BA79E8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200889" w:rsidRPr="001D2F59" w:rsidRDefault="001D2F59" w:rsidP="00EF1B0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F59">
        <w:rPr>
          <w:rFonts w:ascii="Times New Roman" w:hAnsi="Times New Roman" w:cs="Times New Roman"/>
          <w:sz w:val="28"/>
          <w:szCs w:val="28"/>
        </w:rPr>
        <w:t xml:space="preserve">По </w:t>
      </w:r>
      <w:r w:rsidR="003E25F5">
        <w:rPr>
          <w:rFonts w:ascii="Times New Roman" w:hAnsi="Times New Roman" w:cs="Times New Roman"/>
          <w:sz w:val="28"/>
          <w:szCs w:val="28"/>
        </w:rPr>
        <w:t>уровню</w:t>
      </w:r>
      <w:r w:rsidRPr="001D2F59">
        <w:rPr>
          <w:rFonts w:ascii="Times New Roman" w:hAnsi="Times New Roman" w:cs="Times New Roman"/>
          <w:sz w:val="28"/>
          <w:szCs w:val="28"/>
        </w:rPr>
        <w:t xml:space="preserve"> </w:t>
      </w:r>
      <w:r w:rsidRPr="001D2F59">
        <w:rPr>
          <w:rFonts w:ascii="Times New Roman" w:hAnsi="Times New Roman" w:cs="Times New Roman"/>
          <w:b/>
          <w:sz w:val="28"/>
          <w:szCs w:val="28"/>
        </w:rPr>
        <w:t>среднемесячной заработной платы</w:t>
      </w:r>
      <w:r w:rsidRPr="001D2F59">
        <w:rPr>
          <w:rFonts w:ascii="Times New Roman" w:hAnsi="Times New Roman" w:cs="Times New Roman"/>
          <w:sz w:val="28"/>
          <w:szCs w:val="28"/>
        </w:rPr>
        <w:t xml:space="preserve"> на крупных и средних организациях, </w:t>
      </w:r>
      <w:r w:rsidR="003E5ADE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D2F59">
        <w:rPr>
          <w:rFonts w:ascii="Times New Roman" w:hAnsi="Times New Roman" w:cs="Times New Roman"/>
          <w:sz w:val="28"/>
          <w:szCs w:val="28"/>
        </w:rPr>
        <w:t>Красноярск демонстрир</w:t>
      </w:r>
      <w:r w:rsidR="00CE0B3B">
        <w:rPr>
          <w:rFonts w:ascii="Times New Roman" w:hAnsi="Times New Roman" w:cs="Times New Roman"/>
          <w:sz w:val="28"/>
          <w:szCs w:val="28"/>
        </w:rPr>
        <w:t>ует</w:t>
      </w:r>
      <w:r w:rsidRPr="001D2F59">
        <w:rPr>
          <w:rFonts w:ascii="Times New Roman" w:hAnsi="Times New Roman" w:cs="Times New Roman"/>
          <w:sz w:val="28"/>
          <w:szCs w:val="28"/>
        </w:rPr>
        <w:t xml:space="preserve"> высокие результаты. По итогам 2022 </w:t>
      </w:r>
      <w:r w:rsidR="00073CA7">
        <w:rPr>
          <w:rFonts w:ascii="Times New Roman" w:hAnsi="Times New Roman" w:cs="Times New Roman"/>
          <w:sz w:val="28"/>
          <w:szCs w:val="28"/>
        </w:rPr>
        <w:t>года город занимал лидирующее 1</w:t>
      </w:r>
      <w:r w:rsidRPr="001D2F59">
        <w:rPr>
          <w:rFonts w:ascii="Times New Roman" w:hAnsi="Times New Roman" w:cs="Times New Roman"/>
          <w:sz w:val="28"/>
          <w:szCs w:val="28"/>
        </w:rPr>
        <w:t xml:space="preserve"> место. В 2023 году </w:t>
      </w:r>
      <w:r w:rsidR="00073CA7" w:rsidRPr="00073CA7">
        <w:rPr>
          <w:rFonts w:ascii="Times New Roman" w:hAnsi="Times New Roman" w:cs="Times New Roman"/>
          <w:sz w:val="28"/>
          <w:szCs w:val="28"/>
        </w:rPr>
        <w:t>произошло смещение</w:t>
      </w:r>
      <w:r w:rsidRPr="001D2F59">
        <w:rPr>
          <w:rFonts w:ascii="Times New Roman" w:hAnsi="Times New Roman" w:cs="Times New Roman"/>
          <w:sz w:val="28"/>
          <w:szCs w:val="28"/>
        </w:rPr>
        <w:t xml:space="preserve"> на 2 место, уступив первенство Екатеринбургу</w:t>
      </w:r>
      <w:r w:rsidR="003C2F67">
        <w:rPr>
          <w:rFonts w:ascii="Times New Roman" w:hAnsi="Times New Roman" w:cs="Times New Roman"/>
          <w:sz w:val="28"/>
          <w:szCs w:val="28"/>
        </w:rPr>
        <w:t xml:space="preserve">. </w:t>
      </w:r>
      <w:r w:rsidR="003C2F67" w:rsidRPr="003C2F67">
        <w:rPr>
          <w:rFonts w:ascii="Times New Roman" w:hAnsi="Times New Roman" w:cs="Times New Roman"/>
          <w:sz w:val="28"/>
          <w:szCs w:val="28"/>
        </w:rPr>
        <w:t>К сожалению, тенденция к снижению продолжилась, и</w:t>
      </w:r>
      <w:r w:rsidRPr="001D2F59">
        <w:rPr>
          <w:rFonts w:ascii="Times New Roman" w:hAnsi="Times New Roman" w:cs="Times New Roman"/>
          <w:sz w:val="28"/>
          <w:szCs w:val="28"/>
        </w:rPr>
        <w:t xml:space="preserve"> п</w:t>
      </w:r>
      <w:r w:rsidR="00E95A49" w:rsidRPr="001D2F59">
        <w:rPr>
          <w:rFonts w:ascii="Times New Roman" w:hAnsi="Times New Roman" w:cs="Times New Roman"/>
          <w:sz w:val="28"/>
          <w:szCs w:val="28"/>
        </w:rPr>
        <w:t xml:space="preserve">о итогам 9 месяцев 2025 года </w:t>
      </w:r>
      <w:r w:rsidR="003C2F67">
        <w:rPr>
          <w:rFonts w:ascii="Times New Roman" w:hAnsi="Times New Roman" w:cs="Times New Roman"/>
          <w:sz w:val="28"/>
          <w:szCs w:val="28"/>
        </w:rPr>
        <w:t>город занимает</w:t>
      </w:r>
      <w:r w:rsidR="00E95A49" w:rsidRPr="001D2F59">
        <w:rPr>
          <w:rFonts w:ascii="Times New Roman" w:hAnsi="Times New Roman" w:cs="Times New Roman"/>
          <w:sz w:val="28"/>
          <w:szCs w:val="28"/>
        </w:rPr>
        <w:t xml:space="preserve"> 3 место.</w:t>
      </w:r>
      <w:r w:rsidR="000144E7" w:rsidRPr="001D2F59">
        <w:rPr>
          <w:rFonts w:ascii="Times New Roman" w:hAnsi="Times New Roman" w:cs="Times New Roman"/>
          <w:sz w:val="28"/>
          <w:szCs w:val="28"/>
        </w:rPr>
        <w:t xml:space="preserve"> </w:t>
      </w:r>
      <w:r w:rsidR="003C2F67" w:rsidRPr="003C2F67">
        <w:rPr>
          <w:rFonts w:ascii="Times New Roman" w:hAnsi="Times New Roman" w:cs="Times New Roman"/>
          <w:sz w:val="28"/>
          <w:szCs w:val="28"/>
        </w:rPr>
        <w:t xml:space="preserve">Тем </w:t>
      </w:r>
      <w:r w:rsidR="003E5ADE">
        <w:rPr>
          <w:rFonts w:ascii="Times New Roman" w:hAnsi="Times New Roman" w:cs="Times New Roman"/>
          <w:sz w:val="28"/>
          <w:szCs w:val="28"/>
        </w:rPr>
        <w:br/>
      </w:r>
      <w:r w:rsidR="003C2F67" w:rsidRPr="003C2F67">
        <w:rPr>
          <w:rFonts w:ascii="Times New Roman" w:hAnsi="Times New Roman" w:cs="Times New Roman"/>
          <w:sz w:val="28"/>
          <w:szCs w:val="28"/>
        </w:rPr>
        <w:t>не менее, в масштабах СФО Красноярск по-прежнему удерживает лидирующую позицию</w:t>
      </w:r>
      <w:r w:rsidR="00200889" w:rsidRPr="001D2F59">
        <w:rPr>
          <w:rFonts w:ascii="Times New Roman" w:hAnsi="Times New Roman" w:cs="Times New Roman"/>
          <w:sz w:val="28"/>
          <w:szCs w:val="28"/>
        </w:rPr>
        <w:t>.</w:t>
      </w:r>
    </w:p>
    <w:p w:rsidR="00440BC5" w:rsidRPr="001165CC" w:rsidRDefault="00440BC5" w:rsidP="00BD1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D207CE" w:rsidRDefault="00FC605F" w:rsidP="00FC6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0EF4D" wp14:editId="4BF94E30">
            <wp:extent cx="6477000" cy="23050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A6992" w:rsidRDefault="00CA6992" w:rsidP="00FC6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3142E117" wp14:editId="6DC1F6E9">
            <wp:extent cx="4381500" cy="2343150"/>
            <wp:effectExtent l="0" t="0" r="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D40EB" w:rsidRPr="006D40EB" w:rsidRDefault="006D40EB" w:rsidP="00FC605F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</w:p>
    <w:p w:rsidR="005A0325" w:rsidRPr="00073CA7" w:rsidRDefault="00BF4701" w:rsidP="00EF1B0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CA7">
        <w:rPr>
          <w:rFonts w:ascii="Times New Roman" w:hAnsi="Times New Roman" w:cs="Times New Roman"/>
          <w:sz w:val="28"/>
          <w:szCs w:val="28"/>
        </w:rPr>
        <w:t xml:space="preserve">По итогам 2022 года </w:t>
      </w:r>
      <w:r w:rsidR="001B61CE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5A0325" w:rsidRPr="00073CA7">
        <w:rPr>
          <w:rFonts w:ascii="Times New Roman" w:hAnsi="Times New Roman" w:cs="Times New Roman"/>
          <w:sz w:val="28"/>
          <w:szCs w:val="28"/>
        </w:rPr>
        <w:t>Красноярск занима</w:t>
      </w:r>
      <w:r w:rsidRPr="00073CA7">
        <w:rPr>
          <w:rFonts w:ascii="Times New Roman" w:hAnsi="Times New Roman" w:cs="Times New Roman"/>
          <w:sz w:val="28"/>
          <w:szCs w:val="28"/>
        </w:rPr>
        <w:t>л</w:t>
      </w:r>
      <w:r w:rsidR="005A0325" w:rsidRPr="00073CA7">
        <w:rPr>
          <w:rFonts w:ascii="Times New Roman" w:hAnsi="Times New Roman" w:cs="Times New Roman"/>
          <w:sz w:val="28"/>
          <w:szCs w:val="28"/>
        </w:rPr>
        <w:t xml:space="preserve"> 1 место</w:t>
      </w:r>
      <w:r w:rsidR="0018581A" w:rsidRPr="00073CA7">
        <w:rPr>
          <w:rFonts w:ascii="Times New Roman" w:hAnsi="Times New Roman" w:cs="Times New Roman"/>
          <w:sz w:val="28"/>
          <w:szCs w:val="28"/>
        </w:rPr>
        <w:t xml:space="preserve"> </w:t>
      </w:r>
      <w:r w:rsidR="00274DDE" w:rsidRPr="00073CA7">
        <w:rPr>
          <w:rFonts w:ascii="Times New Roman" w:hAnsi="Times New Roman" w:cs="Times New Roman"/>
          <w:sz w:val="28"/>
          <w:szCs w:val="28"/>
        </w:rPr>
        <w:t>по</w:t>
      </w:r>
      <w:r w:rsidR="0018581A" w:rsidRPr="00073CA7">
        <w:rPr>
          <w:rFonts w:ascii="Times New Roman" w:hAnsi="Times New Roman" w:cs="Times New Roman"/>
          <w:sz w:val="28"/>
          <w:szCs w:val="28"/>
        </w:rPr>
        <w:t xml:space="preserve"> </w:t>
      </w:r>
      <w:r w:rsidR="004616AF" w:rsidRPr="00073CA7">
        <w:rPr>
          <w:rFonts w:ascii="Times New Roman" w:hAnsi="Times New Roman" w:cs="Times New Roman"/>
          <w:sz w:val="28"/>
          <w:szCs w:val="28"/>
        </w:rPr>
        <w:t>величине</w:t>
      </w:r>
      <w:r w:rsidR="0018581A" w:rsidRPr="00073CA7">
        <w:rPr>
          <w:rFonts w:ascii="Times New Roman" w:hAnsi="Times New Roman" w:cs="Times New Roman"/>
          <w:sz w:val="28"/>
          <w:szCs w:val="28"/>
        </w:rPr>
        <w:t xml:space="preserve"> </w:t>
      </w:r>
      <w:r w:rsidR="0018581A" w:rsidRPr="00073CA7">
        <w:rPr>
          <w:rFonts w:ascii="Times New Roman" w:hAnsi="Times New Roman" w:cs="Times New Roman"/>
          <w:b/>
          <w:sz w:val="28"/>
          <w:szCs w:val="28"/>
        </w:rPr>
        <w:t>сальдированн</w:t>
      </w:r>
      <w:r w:rsidR="004616AF" w:rsidRPr="00073CA7">
        <w:rPr>
          <w:rFonts w:ascii="Times New Roman" w:hAnsi="Times New Roman" w:cs="Times New Roman"/>
          <w:b/>
          <w:sz w:val="28"/>
          <w:szCs w:val="28"/>
        </w:rPr>
        <w:t>ой</w:t>
      </w:r>
      <w:r w:rsidR="0018581A" w:rsidRPr="00073C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6AF" w:rsidRPr="00073CA7">
        <w:rPr>
          <w:rFonts w:ascii="Times New Roman" w:hAnsi="Times New Roman" w:cs="Times New Roman"/>
          <w:b/>
          <w:sz w:val="28"/>
          <w:szCs w:val="28"/>
        </w:rPr>
        <w:t>прибыли</w:t>
      </w:r>
      <w:r w:rsidR="003B065F" w:rsidRPr="00073CA7">
        <w:rPr>
          <w:rFonts w:ascii="Times New Roman" w:hAnsi="Times New Roman" w:cs="Times New Roman"/>
          <w:sz w:val="28"/>
          <w:szCs w:val="28"/>
        </w:rPr>
        <w:t xml:space="preserve"> </w:t>
      </w:r>
      <w:r w:rsidR="004616AF" w:rsidRPr="00073CA7">
        <w:rPr>
          <w:rFonts w:ascii="Times New Roman" w:hAnsi="Times New Roman" w:cs="Times New Roman"/>
          <w:sz w:val="28"/>
          <w:szCs w:val="28"/>
        </w:rPr>
        <w:t>по</w:t>
      </w:r>
      <w:r w:rsidR="003B065F" w:rsidRPr="00073CA7">
        <w:rPr>
          <w:rFonts w:ascii="Times New Roman" w:hAnsi="Times New Roman" w:cs="Times New Roman"/>
          <w:sz w:val="28"/>
          <w:szCs w:val="28"/>
        </w:rPr>
        <w:t xml:space="preserve"> </w:t>
      </w:r>
      <w:r w:rsidR="00536D2F" w:rsidRPr="00073CA7">
        <w:rPr>
          <w:rFonts w:ascii="Times New Roman" w:hAnsi="Times New Roman" w:cs="Times New Roman"/>
          <w:sz w:val="28"/>
          <w:szCs w:val="28"/>
        </w:rPr>
        <w:t>крупны</w:t>
      </w:r>
      <w:r w:rsidR="004616AF" w:rsidRPr="00073CA7">
        <w:rPr>
          <w:rFonts w:ascii="Times New Roman" w:hAnsi="Times New Roman" w:cs="Times New Roman"/>
          <w:sz w:val="28"/>
          <w:szCs w:val="28"/>
        </w:rPr>
        <w:t>м</w:t>
      </w:r>
      <w:r w:rsidR="00536D2F" w:rsidRPr="00073CA7">
        <w:rPr>
          <w:rFonts w:ascii="Times New Roman" w:hAnsi="Times New Roman" w:cs="Times New Roman"/>
          <w:sz w:val="28"/>
          <w:szCs w:val="28"/>
        </w:rPr>
        <w:t xml:space="preserve"> и средни</w:t>
      </w:r>
      <w:r w:rsidR="004616AF" w:rsidRPr="00073CA7">
        <w:rPr>
          <w:rFonts w:ascii="Times New Roman" w:hAnsi="Times New Roman" w:cs="Times New Roman"/>
          <w:sz w:val="28"/>
          <w:szCs w:val="28"/>
        </w:rPr>
        <w:t>м</w:t>
      </w:r>
      <w:r w:rsidR="00536D2F" w:rsidRPr="00073CA7">
        <w:rPr>
          <w:rFonts w:ascii="Times New Roman" w:hAnsi="Times New Roman" w:cs="Times New Roman"/>
          <w:sz w:val="28"/>
          <w:szCs w:val="28"/>
        </w:rPr>
        <w:t xml:space="preserve"> </w:t>
      </w:r>
      <w:r w:rsidR="003B065F" w:rsidRPr="00073CA7">
        <w:rPr>
          <w:rFonts w:ascii="Times New Roman" w:hAnsi="Times New Roman" w:cs="Times New Roman"/>
          <w:sz w:val="28"/>
          <w:szCs w:val="28"/>
        </w:rPr>
        <w:t>организаци</w:t>
      </w:r>
      <w:r w:rsidR="004616AF" w:rsidRPr="00073CA7">
        <w:rPr>
          <w:rFonts w:ascii="Times New Roman" w:hAnsi="Times New Roman" w:cs="Times New Roman"/>
          <w:sz w:val="28"/>
          <w:szCs w:val="28"/>
        </w:rPr>
        <w:t>ям</w:t>
      </w:r>
      <w:r w:rsidR="00274DDE" w:rsidRPr="00073CA7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4616AF" w:rsidRPr="00073CA7">
        <w:rPr>
          <w:rFonts w:ascii="Times New Roman" w:hAnsi="Times New Roman" w:cs="Times New Roman"/>
          <w:sz w:val="28"/>
          <w:szCs w:val="28"/>
        </w:rPr>
        <w:t xml:space="preserve"> в расчете на тысячу населения</w:t>
      </w:r>
      <w:r w:rsidR="005A0325" w:rsidRPr="00073CA7">
        <w:rPr>
          <w:rFonts w:ascii="Times New Roman" w:hAnsi="Times New Roman" w:cs="Times New Roman"/>
          <w:sz w:val="28"/>
          <w:szCs w:val="28"/>
        </w:rPr>
        <w:t>.</w:t>
      </w:r>
      <w:r w:rsidR="00B44B9A" w:rsidRPr="00073CA7">
        <w:rPr>
          <w:rFonts w:ascii="Times New Roman" w:hAnsi="Times New Roman" w:cs="Times New Roman"/>
          <w:sz w:val="28"/>
          <w:szCs w:val="28"/>
        </w:rPr>
        <w:t xml:space="preserve"> </w:t>
      </w:r>
      <w:r w:rsidRPr="00073CA7">
        <w:rPr>
          <w:rFonts w:ascii="Times New Roman" w:hAnsi="Times New Roman" w:cs="Times New Roman"/>
          <w:sz w:val="28"/>
          <w:szCs w:val="28"/>
        </w:rPr>
        <w:t xml:space="preserve">По итогам 2023 года Красноярск передвинулся на 3 место, уступая </w:t>
      </w:r>
      <w:r w:rsidR="003C2F67">
        <w:rPr>
          <w:rFonts w:ascii="Times New Roman" w:hAnsi="Times New Roman" w:cs="Times New Roman"/>
          <w:sz w:val="28"/>
          <w:szCs w:val="28"/>
        </w:rPr>
        <w:t xml:space="preserve">лидерство </w:t>
      </w:r>
      <w:r w:rsidRPr="00073CA7">
        <w:rPr>
          <w:rFonts w:ascii="Times New Roman" w:hAnsi="Times New Roman" w:cs="Times New Roman"/>
          <w:sz w:val="28"/>
          <w:szCs w:val="28"/>
        </w:rPr>
        <w:t xml:space="preserve">Казани и Краснодару. </w:t>
      </w:r>
      <w:r w:rsidR="003C2F67">
        <w:rPr>
          <w:rFonts w:ascii="Times New Roman" w:hAnsi="Times New Roman" w:cs="Times New Roman"/>
          <w:sz w:val="28"/>
          <w:szCs w:val="28"/>
        </w:rPr>
        <w:t>Однако, в</w:t>
      </w:r>
      <w:r w:rsidRPr="00073CA7">
        <w:rPr>
          <w:rFonts w:ascii="Times New Roman" w:hAnsi="Times New Roman" w:cs="Times New Roman"/>
          <w:sz w:val="28"/>
          <w:szCs w:val="28"/>
        </w:rPr>
        <w:t xml:space="preserve"> 2024 год</w:t>
      </w:r>
      <w:r w:rsidR="003C2F67">
        <w:rPr>
          <w:rFonts w:ascii="Times New Roman" w:hAnsi="Times New Roman" w:cs="Times New Roman"/>
          <w:sz w:val="28"/>
          <w:szCs w:val="28"/>
        </w:rPr>
        <w:t>у</w:t>
      </w:r>
      <w:r w:rsidR="00B44B9A" w:rsidRPr="00073CA7">
        <w:rPr>
          <w:rFonts w:ascii="Times New Roman" w:hAnsi="Times New Roman" w:cs="Times New Roman"/>
          <w:sz w:val="28"/>
          <w:szCs w:val="28"/>
        </w:rPr>
        <w:t xml:space="preserve"> </w:t>
      </w:r>
      <w:r w:rsidR="003C2F67">
        <w:rPr>
          <w:rFonts w:ascii="Times New Roman" w:hAnsi="Times New Roman" w:cs="Times New Roman"/>
          <w:sz w:val="28"/>
          <w:szCs w:val="28"/>
        </w:rPr>
        <w:t>город</w:t>
      </w:r>
      <w:r w:rsidRPr="00073CA7">
        <w:rPr>
          <w:rFonts w:ascii="Times New Roman" w:hAnsi="Times New Roman" w:cs="Times New Roman"/>
          <w:sz w:val="28"/>
          <w:szCs w:val="28"/>
        </w:rPr>
        <w:t xml:space="preserve"> вернул себе 1</w:t>
      </w:r>
      <w:r w:rsidR="007643A0">
        <w:rPr>
          <w:rFonts w:ascii="Times New Roman" w:hAnsi="Times New Roman" w:cs="Times New Roman"/>
          <w:sz w:val="28"/>
          <w:szCs w:val="28"/>
        </w:rPr>
        <w:t> </w:t>
      </w:r>
      <w:r w:rsidRPr="00073CA7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0144E7" w:rsidRPr="00073CA7">
        <w:rPr>
          <w:rFonts w:ascii="Times New Roman" w:hAnsi="Times New Roman" w:cs="Times New Roman"/>
          <w:sz w:val="28"/>
          <w:szCs w:val="28"/>
        </w:rPr>
        <w:t xml:space="preserve">, </w:t>
      </w:r>
      <w:r w:rsidR="003C2F67" w:rsidRPr="003C2F67">
        <w:rPr>
          <w:rFonts w:ascii="Times New Roman" w:hAnsi="Times New Roman" w:cs="Times New Roman"/>
          <w:sz w:val="28"/>
          <w:szCs w:val="28"/>
        </w:rPr>
        <w:t>закрепив успех</w:t>
      </w:r>
      <w:r w:rsidR="003C2F67">
        <w:rPr>
          <w:rFonts w:ascii="Times New Roman" w:hAnsi="Times New Roman" w:cs="Times New Roman"/>
          <w:sz w:val="28"/>
          <w:szCs w:val="28"/>
        </w:rPr>
        <w:t xml:space="preserve"> </w:t>
      </w:r>
      <w:r w:rsidR="000144E7" w:rsidRPr="00073CA7">
        <w:rPr>
          <w:rFonts w:ascii="Times New Roman" w:hAnsi="Times New Roman" w:cs="Times New Roman"/>
          <w:sz w:val="28"/>
          <w:szCs w:val="28"/>
        </w:rPr>
        <w:t xml:space="preserve">и по итогам </w:t>
      </w:r>
      <w:r w:rsidRPr="00073CA7">
        <w:rPr>
          <w:rFonts w:ascii="Times New Roman" w:hAnsi="Times New Roman" w:cs="Times New Roman"/>
          <w:sz w:val="28"/>
          <w:szCs w:val="28"/>
        </w:rPr>
        <w:t xml:space="preserve">9 месяцев </w:t>
      </w:r>
      <w:r w:rsidR="000144E7" w:rsidRPr="00073CA7">
        <w:rPr>
          <w:rFonts w:ascii="Times New Roman" w:hAnsi="Times New Roman" w:cs="Times New Roman"/>
          <w:sz w:val="28"/>
          <w:szCs w:val="28"/>
        </w:rPr>
        <w:t xml:space="preserve">2025 года. </w:t>
      </w:r>
    </w:p>
    <w:p w:rsidR="0018581A" w:rsidRPr="00C75EB9" w:rsidRDefault="0018581A" w:rsidP="007E6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28"/>
        </w:rPr>
      </w:pPr>
    </w:p>
    <w:p w:rsidR="003B065F" w:rsidRDefault="00274DDE" w:rsidP="00274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972E3" wp14:editId="54F93413">
            <wp:extent cx="6477000" cy="1981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B5779" w:rsidRPr="001B5779" w:rsidRDefault="001B5779" w:rsidP="00274DDE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B5779" w:rsidRDefault="001B5779" w:rsidP="00274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77BDC08F" wp14:editId="4591375E">
            <wp:extent cx="4381500" cy="2143125"/>
            <wp:effectExtent l="0" t="0" r="0" b="0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B5779" w:rsidRPr="001165CC" w:rsidRDefault="001B5779" w:rsidP="00274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FB8" w:rsidRDefault="003C2F67" w:rsidP="00EF1B0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F67">
        <w:rPr>
          <w:rFonts w:ascii="Times New Roman" w:hAnsi="Times New Roman" w:cs="Times New Roman"/>
          <w:sz w:val="28"/>
          <w:szCs w:val="28"/>
        </w:rPr>
        <w:t xml:space="preserve">В сфере </w:t>
      </w:r>
      <w:r w:rsidRPr="003C2F67">
        <w:rPr>
          <w:rFonts w:ascii="Times New Roman" w:hAnsi="Times New Roman" w:cs="Times New Roman"/>
          <w:b/>
          <w:sz w:val="28"/>
          <w:szCs w:val="28"/>
        </w:rPr>
        <w:t>объ</w:t>
      </w:r>
      <w:r w:rsidR="00B86DA1">
        <w:rPr>
          <w:rFonts w:ascii="Times New Roman" w:hAnsi="Times New Roman" w:cs="Times New Roman"/>
          <w:b/>
          <w:sz w:val="28"/>
          <w:szCs w:val="28"/>
        </w:rPr>
        <w:t>е</w:t>
      </w:r>
      <w:r w:rsidRPr="003C2F67">
        <w:rPr>
          <w:rFonts w:ascii="Times New Roman" w:hAnsi="Times New Roman" w:cs="Times New Roman"/>
          <w:b/>
          <w:sz w:val="28"/>
          <w:szCs w:val="28"/>
        </w:rPr>
        <w:t>ма отгруженных промышленных товаров</w:t>
      </w:r>
      <w:r w:rsidRPr="003C2F67">
        <w:rPr>
          <w:rFonts w:ascii="Times New Roman" w:hAnsi="Times New Roman" w:cs="Times New Roman"/>
          <w:sz w:val="28"/>
          <w:szCs w:val="28"/>
        </w:rPr>
        <w:t xml:space="preserve"> </w:t>
      </w:r>
      <w:r w:rsidRPr="00073CA7">
        <w:rPr>
          <w:rFonts w:ascii="Times New Roman" w:hAnsi="Times New Roman" w:cs="Times New Roman"/>
          <w:b/>
          <w:sz w:val="28"/>
          <w:szCs w:val="28"/>
        </w:rPr>
        <w:t>по обрабатывающим производствам</w:t>
      </w:r>
      <w:r w:rsidRPr="00073CA7">
        <w:rPr>
          <w:rFonts w:ascii="Times New Roman" w:hAnsi="Times New Roman" w:cs="Times New Roman"/>
          <w:sz w:val="28"/>
          <w:szCs w:val="28"/>
        </w:rPr>
        <w:t xml:space="preserve"> </w:t>
      </w:r>
      <w:r w:rsidRPr="003C2F67">
        <w:rPr>
          <w:rFonts w:ascii="Times New Roman" w:hAnsi="Times New Roman" w:cs="Times New Roman"/>
          <w:sz w:val="28"/>
          <w:szCs w:val="28"/>
        </w:rPr>
        <w:t xml:space="preserve">наблюдается тревожная тенденция: </w:t>
      </w:r>
      <w:r w:rsidR="001B61CE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3C2F67">
        <w:rPr>
          <w:rFonts w:ascii="Times New Roman" w:hAnsi="Times New Roman" w:cs="Times New Roman"/>
          <w:sz w:val="28"/>
          <w:szCs w:val="28"/>
        </w:rPr>
        <w:t>Красноя</w:t>
      </w:r>
      <w:proofErr w:type="gramStart"/>
      <w:r w:rsidRPr="003C2F67">
        <w:rPr>
          <w:rFonts w:ascii="Times New Roman" w:hAnsi="Times New Roman" w:cs="Times New Roman"/>
          <w:sz w:val="28"/>
          <w:szCs w:val="28"/>
        </w:rPr>
        <w:t>рск стр</w:t>
      </w:r>
      <w:proofErr w:type="gramEnd"/>
      <w:r w:rsidRPr="003C2F67">
        <w:rPr>
          <w:rFonts w:ascii="Times New Roman" w:hAnsi="Times New Roman" w:cs="Times New Roman"/>
          <w:sz w:val="28"/>
          <w:szCs w:val="28"/>
        </w:rPr>
        <w:t>емительно теряет позиции. С 5 места в 2022 году город опустился на 11</w:t>
      </w:r>
      <w:r w:rsidR="007643A0">
        <w:rPr>
          <w:rFonts w:ascii="Times New Roman" w:hAnsi="Times New Roman" w:cs="Times New Roman"/>
          <w:sz w:val="28"/>
          <w:szCs w:val="28"/>
        </w:rPr>
        <w:t>-ое</w:t>
      </w:r>
      <w:r w:rsidRPr="003C2F67">
        <w:rPr>
          <w:rFonts w:ascii="Times New Roman" w:hAnsi="Times New Roman" w:cs="Times New Roman"/>
          <w:sz w:val="28"/>
          <w:szCs w:val="28"/>
        </w:rPr>
        <w:t xml:space="preserve"> в 2023</w:t>
      </w:r>
      <w:r w:rsidR="00E561E6">
        <w:rPr>
          <w:rFonts w:ascii="Times New Roman" w:hAnsi="Times New Roman" w:cs="Times New Roman"/>
          <w:sz w:val="28"/>
          <w:szCs w:val="28"/>
        </w:rPr>
        <w:t> </w:t>
      </w:r>
      <w:r w:rsidRPr="003C2F67">
        <w:rPr>
          <w:rFonts w:ascii="Times New Roman" w:hAnsi="Times New Roman" w:cs="Times New Roman"/>
          <w:sz w:val="28"/>
          <w:szCs w:val="28"/>
        </w:rPr>
        <w:t xml:space="preserve"> году и на 12</w:t>
      </w:r>
      <w:r w:rsidR="00E561E6">
        <w:rPr>
          <w:rFonts w:ascii="Times New Roman" w:hAnsi="Times New Roman" w:cs="Times New Roman"/>
          <w:sz w:val="28"/>
          <w:szCs w:val="28"/>
        </w:rPr>
        <w:t>-е</w:t>
      </w:r>
      <w:r w:rsidRPr="003C2F67">
        <w:rPr>
          <w:rFonts w:ascii="Times New Roman" w:hAnsi="Times New Roman" w:cs="Times New Roman"/>
          <w:sz w:val="28"/>
          <w:szCs w:val="28"/>
        </w:rPr>
        <w:t xml:space="preserve"> в 2024 году.</w:t>
      </w:r>
      <w:r>
        <w:rPr>
          <w:rFonts w:ascii="PT Sans" w:hAnsi="PT Sans"/>
          <w:color w:val="494949"/>
        </w:rPr>
        <w:t xml:space="preserve"> </w:t>
      </w:r>
      <w:r w:rsidR="00073CA7" w:rsidRPr="00073CA7">
        <w:rPr>
          <w:rFonts w:ascii="Times New Roman" w:hAnsi="Times New Roman" w:cs="Times New Roman"/>
          <w:sz w:val="28"/>
          <w:szCs w:val="28"/>
        </w:rPr>
        <w:t>По итогам 9 месяцев 2025 года Красноярск находится на 10 месте в рейтинге, незначительно улучшив свое положение. Среди городов СФО Красноярск занимает 2 место</w:t>
      </w:r>
      <w:r w:rsidR="00C91647" w:rsidRPr="00C75EB9">
        <w:rPr>
          <w:rFonts w:ascii="Times New Roman" w:hAnsi="Times New Roman" w:cs="Times New Roman"/>
          <w:sz w:val="28"/>
          <w:szCs w:val="28"/>
        </w:rPr>
        <w:t>.</w:t>
      </w:r>
    </w:p>
    <w:p w:rsidR="009B080C" w:rsidRPr="009B080C" w:rsidRDefault="009B080C" w:rsidP="009B080C">
      <w:pPr>
        <w:pStyle w:val="a9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6"/>
          <w:szCs w:val="28"/>
        </w:rPr>
      </w:pPr>
    </w:p>
    <w:p w:rsidR="001B3FB8" w:rsidRDefault="001B3FB8" w:rsidP="001B3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D9337" wp14:editId="62C58FFA">
            <wp:extent cx="6477000" cy="18288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55BDA" w:rsidRDefault="00A55BDA" w:rsidP="001B3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35E335E2" wp14:editId="6896DF50">
            <wp:extent cx="4381500" cy="2143125"/>
            <wp:effectExtent l="0" t="0" r="19050" b="9525"/>
            <wp:docPr id="3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D331C" w:rsidRPr="003D331C" w:rsidRDefault="003D331C" w:rsidP="001B3FB8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E561E6" w:rsidRPr="00E561E6" w:rsidRDefault="00E561E6" w:rsidP="00EF1B0E">
      <w:pPr>
        <w:pStyle w:val="a9"/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61E6">
        <w:rPr>
          <w:rFonts w:ascii="Times New Roman" w:hAnsi="Times New Roman" w:cs="Times New Roman"/>
          <w:sz w:val="28"/>
          <w:szCs w:val="28"/>
        </w:rPr>
        <w:t>Амбициозные</w:t>
      </w:r>
      <w:proofErr w:type="gramEnd"/>
      <w:r w:rsidRPr="00E561E6">
        <w:rPr>
          <w:rFonts w:ascii="Times New Roman" w:hAnsi="Times New Roman" w:cs="Times New Roman"/>
          <w:sz w:val="28"/>
          <w:szCs w:val="28"/>
        </w:rPr>
        <w:t xml:space="preserve"> строительные проекты </w:t>
      </w:r>
      <w:r w:rsidR="00DC4F7E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E561E6">
        <w:rPr>
          <w:rFonts w:ascii="Times New Roman" w:hAnsi="Times New Roman" w:cs="Times New Roman"/>
          <w:sz w:val="28"/>
          <w:szCs w:val="28"/>
        </w:rPr>
        <w:t>Красноярска в 2022-2023 годах позволили городу занять 5-е место по</w:t>
      </w:r>
      <w:r>
        <w:rPr>
          <w:rFonts w:ascii="PT Sans" w:hAnsi="PT Sans"/>
          <w:color w:val="494949"/>
        </w:rPr>
        <w:t xml:space="preserve"> </w:t>
      </w:r>
      <w:r w:rsidR="002729F6" w:rsidRPr="00073CA7">
        <w:rPr>
          <w:rFonts w:ascii="Times New Roman" w:hAnsi="Times New Roman" w:cs="Times New Roman"/>
          <w:b/>
          <w:sz w:val="28"/>
          <w:szCs w:val="28"/>
        </w:rPr>
        <w:t xml:space="preserve">объему работ и услуг, выполненных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2729F6" w:rsidRPr="00073CA7">
        <w:rPr>
          <w:rFonts w:ascii="Times New Roman" w:hAnsi="Times New Roman" w:cs="Times New Roman"/>
          <w:b/>
          <w:sz w:val="28"/>
          <w:szCs w:val="28"/>
        </w:rPr>
        <w:t>о виду деятельности «Строительство»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61E6">
        <w:rPr>
          <w:rFonts w:ascii="Times New Roman" w:hAnsi="Times New Roman" w:cs="Times New Roman"/>
          <w:sz w:val="28"/>
          <w:szCs w:val="28"/>
        </w:rPr>
        <w:t>Однако в 2024 году последовало некоторое снижение активности, и город опустился на 8-ю строчку рейтинга. По итогам 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561E6">
        <w:rPr>
          <w:rFonts w:ascii="Times New Roman" w:hAnsi="Times New Roman" w:cs="Times New Roman"/>
          <w:sz w:val="28"/>
          <w:szCs w:val="28"/>
        </w:rPr>
        <w:t xml:space="preserve"> месяцев 2025 года строительная отрасль вновь демонстрирует рост, позволив Красноярску занять 4-е место. В масштабах СФО – уверенное 1-е место.</w:t>
      </w:r>
    </w:p>
    <w:p w:rsidR="002729F6" w:rsidRPr="009B080C" w:rsidRDefault="002729F6" w:rsidP="002729F6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2"/>
          <w:szCs w:val="28"/>
        </w:rPr>
      </w:pPr>
    </w:p>
    <w:p w:rsidR="002729F6" w:rsidRDefault="002729F6" w:rsidP="0016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E2D">
        <w:rPr>
          <w:noProof/>
          <w:lang w:eastAsia="ru-RU"/>
        </w:rPr>
        <w:drawing>
          <wp:inline distT="0" distB="0" distL="0" distR="0" wp14:anchorId="2D1E47A0" wp14:editId="7DAE906D">
            <wp:extent cx="6477000" cy="17716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55BDA" w:rsidRPr="002729F6" w:rsidRDefault="00A55BDA" w:rsidP="0016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7948875" wp14:editId="7843CBD7">
            <wp:extent cx="4381500" cy="2114550"/>
            <wp:effectExtent l="0" t="0" r="0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20DD1" w:rsidRPr="00166DB2" w:rsidRDefault="00920DD1" w:rsidP="00166DB2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E561E6" w:rsidRDefault="007643A0" w:rsidP="00EF1B0E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рейтинге по </w:t>
      </w:r>
      <w:r w:rsidRPr="003C2F67">
        <w:rPr>
          <w:rFonts w:ascii="Times New Roman" w:hAnsi="Times New Roman" w:cs="Times New Roman"/>
          <w:b/>
          <w:sz w:val="28"/>
          <w:szCs w:val="28"/>
        </w:rPr>
        <w:t>вводу в действие жилья</w:t>
      </w:r>
      <w:r w:rsidRPr="002A1D8E">
        <w:rPr>
          <w:rFonts w:ascii="Times New Roman" w:hAnsi="Times New Roman" w:cs="Times New Roman"/>
          <w:sz w:val="28"/>
          <w:szCs w:val="28"/>
        </w:rPr>
        <w:t xml:space="preserve"> </w:t>
      </w:r>
      <w:r w:rsidR="00DC4F7E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561E6" w:rsidRPr="00E561E6">
        <w:rPr>
          <w:rFonts w:ascii="Times New Roman" w:hAnsi="Times New Roman" w:cs="Times New Roman"/>
          <w:sz w:val="28"/>
          <w:szCs w:val="28"/>
        </w:rPr>
        <w:t>Красноярск переживает не лучшие времена. С 6 места в 2022 году город опустился на 8-е по итогам 2023 года, сохранив эту позицию и в 2024 году. По итогам 9 месяцев 2025 года Красноярск занимает лишь 12 место. В СФО город занимает 3 место</w:t>
      </w:r>
      <w:r w:rsidR="009B080C">
        <w:rPr>
          <w:rFonts w:ascii="Times New Roman" w:hAnsi="Times New Roman" w:cs="Times New Roman"/>
          <w:sz w:val="28"/>
          <w:szCs w:val="28"/>
        </w:rPr>
        <w:t>.</w:t>
      </w:r>
    </w:p>
    <w:p w:rsidR="009B080C" w:rsidRPr="009B080C" w:rsidRDefault="009B080C" w:rsidP="009B080C">
      <w:pPr>
        <w:pStyle w:val="a9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2"/>
          <w:szCs w:val="28"/>
        </w:rPr>
      </w:pPr>
    </w:p>
    <w:p w:rsidR="002A3300" w:rsidRDefault="00553330" w:rsidP="00553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D065F" wp14:editId="6EDA1E5C">
            <wp:extent cx="6477000" cy="16573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302BC" w:rsidRPr="00A302BC" w:rsidRDefault="00A302BC" w:rsidP="00553330">
      <w:pPr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A55BDA" w:rsidRDefault="00A55BDA" w:rsidP="00553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7948875" wp14:editId="7843CBD7">
            <wp:extent cx="4381500" cy="1838325"/>
            <wp:effectExtent l="0" t="0" r="0" b="0"/>
            <wp:docPr id="3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92B95" w:rsidRPr="003D331C" w:rsidRDefault="00B92B95" w:rsidP="00553330">
      <w:pPr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635DD4" w:rsidRPr="00845A68" w:rsidRDefault="007643A0" w:rsidP="00EF1B0E">
      <w:pPr>
        <w:pStyle w:val="a9"/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</w:t>
      </w:r>
      <w:r w:rsidR="00635DD4" w:rsidRPr="00635DD4">
        <w:rPr>
          <w:rFonts w:ascii="Times New Roman" w:hAnsi="Times New Roman" w:cs="Times New Roman"/>
          <w:sz w:val="28"/>
          <w:szCs w:val="28"/>
        </w:rPr>
        <w:t>Красноярска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A68">
        <w:rPr>
          <w:rFonts w:ascii="Times New Roman" w:hAnsi="Times New Roman" w:cs="Times New Roman"/>
          <w:sz w:val="28"/>
          <w:szCs w:val="28"/>
        </w:rPr>
        <w:t xml:space="preserve">по </w:t>
      </w:r>
      <w:r w:rsidRPr="00635DD4">
        <w:rPr>
          <w:rFonts w:ascii="Times New Roman" w:hAnsi="Times New Roman" w:cs="Times New Roman"/>
          <w:b/>
          <w:sz w:val="28"/>
          <w:szCs w:val="28"/>
        </w:rPr>
        <w:t>объему инвестиций в основной капитал</w:t>
      </w:r>
      <w:r w:rsidR="00635DD4" w:rsidRPr="00635D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</w:r>
      <w:r w:rsidR="00635DD4" w:rsidRPr="00635DD4">
        <w:rPr>
          <w:rFonts w:ascii="Times New Roman" w:hAnsi="Times New Roman" w:cs="Times New Roman"/>
          <w:sz w:val="28"/>
          <w:szCs w:val="28"/>
        </w:rPr>
        <w:t>к сожалению, снижается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5DD4" w:rsidRPr="00635D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35DD4">
        <w:rPr>
          <w:rFonts w:ascii="Times New Roman" w:hAnsi="Times New Roman" w:cs="Times New Roman"/>
          <w:sz w:val="28"/>
          <w:szCs w:val="28"/>
        </w:rPr>
        <w:t xml:space="preserve"> </w:t>
      </w:r>
      <w:r w:rsidR="00635DD4" w:rsidRPr="00635DD4">
        <w:rPr>
          <w:rFonts w:ascii="Times New Roman" w:hAnsi="Times New Roman" w:cs="Times New Roman"/>
          <w:sz w:val="28"/>
          <w:szCs w:val="28"/>
        </w:rPr>
        <w:t xml:space="preserve">10 места в 2022 году город опустился на 11-е в 2023 году и на 12-е в 2024 году. Обнадеживающие </w:t>
      </w:r>
      <w:r w:rsidR="00635DD4">
        <w:rPr>
          <w:rFonts w:ascii="Times New Roman" w:hAnsi="Times New Roman" w:cs="Times New Roman"/>
          <w:sz w:val="28"/>
          <w:szCs w:val="28"/>
        </w:rPr>
        <w:t>результаты зафиксированы</w:t>
      </w:r>
      <w:r w:rsidR="00635DD4" w:rsidRPr="00635DD4">
        <w:rPr>
          <w:rFonts w:ascii="Times New Roman" w:hAnsi="Times New Roman" w:cs="Times New Roman"/>
          <w:sz w:val="28"/>
          <w:szCs w:val="28"/>
        </w:rPr>
        <w:t xml:space="preserve"> по итогам 9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35DD4" w:rsidRPr="00635DD4">
        <w:rPr>
          <w:rFonts w:ascii="Times New Roman" w:hAnsi="Times New Roman" w:cs="Times New Roman"/>
          <w:sz w:val="28"/>
          <w:szCs w:val="28"/>
        </w:rPr>
        <w:t xml:space="preserve"> месяцев 2025 года, когда Красноярск поднялся на 8 строчку рейтинга. В СФО – безоговорочное лидерство</w:t>
      </w:r>
      <w:r w:rsidR="00635DD4">
        <w:rPr>
          <w:rFonts w:ascii="Times New Roman" w:hAnsi="Times New Roman" w:cs="Times New Roman"/>
          <w:sz w:val="28"/>
          <w:szCs w:val="28"/>
        </w:rPr>
        <w:t xml:space="preserve"> Красноярска</w:t>
      </w:r>
      <w:r w:rsidR="00635DD4" w:rsidRPr="00635DD4">
        <w:rPr>
          <w:rFonts w:ascii="Times New Roman" w:hAnsi="Times New Roman" w:cs="Times New Roman"/>
          <w:sz w:val="28"/>
          <w:szCs w:val="28"/>
        </w:rPr>
        <w:t>.</w:t>
      </w:r>
    </w:p>
    <w:p w:rsidR="004E1406" w:rsidRDefault="00A76E64" w:rsidP="004E1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2093F" wp14:editId="66B9A680">
            <wp:extent cx="6477000" cy="181927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55BDA" w:rsidRPr="001165CC" w:rsidRDefault="00A55BDA" w:rsidP="004E1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7948875" wp14:editId="7843CBD7">
            <wp:extent cx="4381500" cy="1790700"/>
            <wp:effectExtent l="0" t="0" r="0" b="0"/>
            <wp:docPr id="3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35DD4" w:rsidRPr="00173B47" w:rsidRDefault="007643A0" w:rsidP="00EF1B0E">
      <w:pPr>
        <w:pStyle w:val="a9"/>
        <w:numPr>
          <w:ilvl w:val="0"/>
          <w:numId w:val="1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в </w:t>
      </w:r>
      <w:r w:rsidRPr="00635DD4">
        <w:rPr>
          <w:rFonts w:ascii="Times New Roman" w:hAnsi="Times New Roman" w:cs="Times New Roman"/>
          <w:sz w:val="28"/>
          <w:szCs w:val="28"/>
        </w:rPr>
        <w:t>сфер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35DD4">
        <w:rPr>
          <w:rFonts w:ascii="Times New Roman" w:hAnsi="Times New Roman" w:cs="Times New Roman"/>
          <w:sz w:val="28"/>
          <w:szCs w:val="28"/>
        </w:rPr>
        <w:t xml:space="preserve"> </w:t>
      </w:r>
      <w:r w:rsidR="00635DD4" w:rsidRPr="00635DD4">
        <w:rPr>
          <w:rFonts w:ascii="Times New Roman" w:hAnsi="Times New Roman" w:cs="Times New Roman"/>
          <w:sz w:val="28"/>
          <w:szCs w:val="28"/>
        </w:rPr>
        <w:t xml:space="preserve">розничной торговли также демонстрирует негативную динамику: </w:t>
      </w:r>
      <w:r w:rsidR="0049722A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635DD4" w:rsidRPr="00635DD4">
        <w:rPr>
          <w:rFonts w:ascii="Times New Roman" w:hAnsi="Times New Roman" w:cs="Times New Roman"/>
          <w:sz w:val="28"/>
          <w:szCs w:val="28"/>
        </w:rPr>
        <w:t xml:space="preserve">Красноярск </w:t>
      </w:r>
      <w:r w:rsidR="00EF1B0E" w:rsidRPr="00EF1B0E">
        <w:rPr>
          <w:rFonts w:ascii="Times New Roman" w:hAnsi="Times New Roman" w:cs="Times New Roman"/>
          <w:b/>
          <w:sz w:val="28"/>
          <w:szCs w:val="28"/>
        </w:rPr>
        <w:t xml:space="preserve">по обороту розничной торговли </w:t>
      </w:r>
      <w:r w:rsidR="00635DD4" w:rsidRPr="00635DD4">
        <w:rPr>
          <w:rFonts w:ascii="Times New Roman" w:hAnsi="Times New Roman" w:cs="Times New Roman"/>
          <w:sz w:val="28"/>
          <w:szCs w:val="28"/>
        </w:rPr>
        <w:t>опустился с 10 места в 2022 году на 13-е в 2023 году, сохранив эту позицию и в 2024 году. По итогам 9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35DD4" w:rsidRPr="00635DD4">
        <w:rPr>
          <w:rFonts w:ascii="Times New Roman" w:hAnsi="Times New Roman" w:cs="Times New Roman"/>
          <w:sz w:val="28"/>
          <w:szCs w:val="28"/>
        </w:rPr>
        <w:t>месяцев 2025</w:t>
      </w:r>
      <w:r w:rsidR="00EF1B0E">
        <w:rPr>
          <w:rFonts w:ascii="Times New Roman" w:hAnsi="Times New Roman" w:cs="Times New Roman"/>
          <w:sz w:val="28"/>
          <w:szCs w:val="28"/>
        </w:rPr>
        <w:t> </w:t>
      </w:r>
      <w:r w:rsidR="00635DD4" w:rsidRPr="00635DD4">
        <w:rPr>
          <w:rFonts w:ascii="Times New Roman" w:hAnsi="Times New Roman" w:cs="Times New Roman"/>
          <w:sz w:val="28"/>
          <w:szCs w:val="28"/>
        </w:rPr>
        <w:t>года Красноярск занимает 12 место. В СФО город занимает 2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1C8" w:rsidRDefault="00E971C8" w:rsidP="00E97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4EA6E" wp14:editId="680233FB">
            <wp:extent cx="6477000" cy="17621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55BDA" w:rsidRDefault="00A55BDA" w:rsidP="00E97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7948875" wp14:editId="7843CBD7">
            <wp:extent cx="4381500" cy="1924050"/>
            <wp:effectExtent l="0" t="0" r="0" b="0"/>
            <wp:docPr id="3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47AE4" w:rsidRPr="00B47AE4" w:rsidRDefault="00B47AE4" w:rsidP="00E971C8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</w:p>
    <w:p w:rsidR="00EF1B0E" w:rsidRPr="00D142E1" w:rsidRDefault="007643A0" w:rsidP="00EF1B0E">
      <w:pPr>
        <w:pStyle w:val="a9"/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Рейтинг в с</w:t>
      </w:r>
      <w:r w:rsidR="00EF1B0E" w:rsidRPr="00EF1B0E">
        <w:rPr>
          <w:rFonts w:ascii="Times New Roman" w:hAnsi="Times New Roman" w:cs="Times New Roman"/>
          <w:sz w:val="28"/>
          <w:szCs w:val="28"/>
        </w:rPr>
        <w:t>фер</w:t>
      </w:r>
      <w:r w:rsidR="00C57E07">
        <w:rPr>
          <w:rFonts w:ascii="Times New Roman" w:hAnsi="Times New Roman" w:cs="Times New Roman"/>
          <w:sz w:val="28"/>
          <w:szCs w:val="28"/>
        </w:rPr>
        <w:t>е</w:t>
      </w:r>
      <w:r w:rsidR="00EF1B0E" w:rsidRPr="00EF1B0E">
        <w:rPr>
          <w:rFonts w:ascii="Times New Roman" w:hAnsi="Times New Roman" w:cs="Times New Roman"/>
          <w:sz w:val="28"/>
          <w:szCs w:val="28"/>
        </w:rPr>
        <w:t xml:space="preserve"> общественного питания также переживает не лучшие времена: </w:t>
      </w:r>
      <w:r w:rsidR="00EF1B0E">
        <w:rPr>
          <w:rFonts w:ascii="Times New Roman" w:hAnsi="Times New Roman" w:cs="Times New Roman"/>
          <w:sz w:val="28"/>
          <w:szCs w:val="28"/>
        </w:rPr>
        <w:t xml:space="preserve">по </w:t>
      </w:r>
      <w:r w:rsidR="00EF1B0E" w:rsidRPr="00EF1B0E">
        <w:rPr>
          <w:rFonts w:ascii="Times New Roman" w:hAnsi="Times New Roman" w:cs="Times New Roman"/>
          <w:b/>
          <w:sz w:val="28"/>
          <w:szCs w:val="28"/>
        </w:rPr>
        <w:t>обороту общественного питания</w:t>
      </w:r>
      <w:r w:rsidR="00EF1B0E" w:rsidRPr="00D142E1">
        <w:rPr>
          <w:rFonts w:ascii="Times New Roman" w:hAnsi="Times New Roman" w:cs="Times New Roman"/>
          <w:sz w:val="28"/>
          <w:szCs w:val="28"/>
        </w:rPr>
        <w:t xml:space="preserve"> крупных и средних организаций </w:t>
      </w:r>
      <w:r w:rsidR="00B95A76">
        <w:rPr>
          <w:rFonts w:ascii="Times New Roman" w:hAnsi="Times New Roman" w:cs="Times New Roman"/>
          <w:sz w:val="28"/>
          <w:szCs w:val="28"/>
        </w:rPr>
        <w:br/>
      </w:r>
      <w:r w:rsidR="00EF1B0E" w:rsidRPr="00EF1B0E">
        <w:rPr>
          <w:rFonts w:ascii="Times New Roman" w:hAnsi="Times New Roman" w:cs="Times New Roman"/>
          <w:sz w:val="28"/>
          <w:szCs w:val="28"/>
        </w:rPr>
        <w:t xml:space="preserve">с 8-го места в 2022 году </w:t>
      </w:r>
      <w:r w:rsidR="00B95A76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F1B0E" w:rsidRPr="00EF1B0E">
        <w:rPr>
          <w:rFonts w:ascii="Times New Roman" w:hAnsi="Times New Roman" w:cs="Times New Roman"/>
          <w:sz w:val="28"/>
          <w:szCs w:val="28"/>
        </w:rPr>
        <w:t>Красноярск опустился на 9-е в 2023 году, сохранив эту позицию и в 2024</w:t>
      </w:r>
      <w:r w:rsidR="00EF1B0E">
        <w:rPr>
          <w:rFonts w:ascii="Times New Roman" w:hAnsi="Times New Roman" w:cs="Times New Roman"/>
          <w:sz w:val="28"/>
          <w:szCs w:val="28"/>
        </w:rPr>
        <w:t> </w:t>
      </w:r>
      <w:r w:rsidR="00EF1B0E" w:rsidRPr="00EF1B0E">
        <w:rPr>
          <w:rFonts w:ascii="Times New Roman" w:hAnsi="Times New Roman" w:cs="Times New Roman"/>
          <w:sz w:val="28"/>
          <w:szCs w:val="28"/>
        </w:rPr>
        <w:t>году. По итогам 9 месяцев 2025 года Красноярск занимает лишь 10-е место.</w:t>
      </w:r>
      <w:r w:rsidR="00B47AE4">
        <w:rPr>
          <w:rFonts w:ascii="Times New Roman" w:hAnsi="Times New Roman" w:cs="Times New Roman"/>
          <w:sz w:val="28"/>
          <w:szCs w:val="28"/>
        </w:rPr>
        <w:t xml:space="preserve"> </w:t>
      </w:r>
      <w:r w:rsidR="00EF1B0E" w:rsidRPr="00EF1B0E">
        <w:rPr>
          <w:rFonts w:ascii="Times New Roman" w:hAnsi="Times New Roman" w:cs="Times New Roman"/>
          <w:sz w:val="28"/>
          <w:szCs w:val="28"/>
        </w:rPr>
        <w:t>В СФО город удерживает лидерство.</w:t>
      </w:r>
    </w:p>
    <w:p w:rsidR="000A70C8" w:rsidRDefault="00DB15B0" w:rsidP="000A70C8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16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122F7" wp14:editId="55F71E18">
            <wp:extent cx="6477000" cy="169545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124F9B" w:rsidRPr="001165CC">
        <w:rPr>
          <w:rFonts w:ascii="Times New Roman" w:eastAsia="Times New Roman" w:hAnsi="Times New Roman" w:cs="Times New Roman"/>
          <w:color w:val="000000"/>
          <w:spacing w:val="-3"/>
          <w:sz w:val="28"/>
          <w:szCs w:val="26"/>
          <w:lang w:eastAsia="ru-RU"/>
        </w:rPr>
        <w:t xml:space="preserve"> </w:t>
      </w:r>
      <w:r w:rsidR="00BC44DC" w:rsidRPr="001165CC">
        <w:rPr>
          <w:rStyle w:val="a8"/>
          <w:rFonts w:ascii="Times New Roman" w:eastAsia="Times New Roman" w:hAnsi="Times New Roman" w:cs="Times New Roman"/>
          <w:color w:val="FFFFFF" w:themeColor="background1"/>
          <w:spacing w:val="-3"/>
          <w:sz w:val="28"/>
          <w:szCs w:val="26"/>
          <w:lang w:eastAsia="ru-RU"/>
        </w:rPr>
        <w:endnoteReference w:id="1"/>
      </w:r>
      <w:r w:rsidR="000A70C8" w:rsidRPr="001165C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</w:p>
    <w:p w:rsidR="00A55BDA" w:rsidRDefault="00A55BDA" w:rsidP="000A70C8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57948875" wp14:editId="7843CBD7">
            <wp:extent cx="4381500" cy="1819275"/>
            <wp:effectExtent l="0" t="0" r="19050" b="9525"/>
            <wp:docPr id="3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3093C" w:rsidRPr="00DB4BB9" w:rsidRDefault="00AE68FF" w:rsidP="000C58D9">
      <w:pPr>
        <w:pStyle w:val="a9"/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BB9">
        <w:rPr>
          <w:rFonts w:ascii="Times New Roman" w:hAnsi="Times New Roman" w:cs="Times New Roman"/>
          <w:sz w:val="28"/>
          <w:szCs w:val="28"/>
        </w:rPr>
        <w:t>Анализ</w:t>
      </w:r>
      <w:r w:rsidR="00DB4BB9" w:rsidRPr="00DB4BB9">
        <w:rPr>
          <w:rFonts w:ascii="Times New Roman" w:hAnsi="Times New Roman" w:cs="Times New Roman"/>
          <w:sz w:val="28"/>
          <w:szCs w:val="28"/>
        </w:rPr>
        <w:t xml:space="preserve"> </w:t>
      </w:r>
      <w:r w:rsidR="00DB4BB9" w:rsidRPr="00452A23">
        <w:rPr>
          <w:rFonts w:ascii="Times New Roman" w:hAnsi="Times New Roman" w:cs="Times New Roman"/>
          <w:b/>
          <w:sz w:val="28"/>
          <w:szCs w:val="28"/>
        </w:rPr>
        <w:t>по</w:t>
      </w:r>
      <w:r w:rsidRPr="00452A23">
        <w:rPr>
          <w:rFonts w:ascii="Times New Roman" w:hAnsi="Times New Roman" w:cs="Times New Roman"/>
          <w:b/>
          <w:sz w:val="28"/>
          <w:szCs w:val="28"/>
        </w:rPr>
        <w:t xml:space="preserve"> бюджетной обеспеченности</w:t>
      </w:r>
      <w:r w:rsidRPr="00DB4BB9">
        <w:rPr>
          <w:rFonts w:ascii="Times New Roman" w:hAnsi="Times New Roman" w:cs="Times New Roman"/>
          <w:sz w:val="28"/>
          <w:szCs w:val="28"/>
        </w:rPr>
        <w:t xml:space="preserve"> проведен по 13 городам-</w:t>
      </w:r>
      <w:proofErr w:type="spellStart"/>
      <w:r w:rsidRPr="00DB4BB9">
        <w:rPr>
          <w:rFonts w:ascii="Times New Roman" w:hAnsi="Times New Roman" w:cs="Times New Roman"/>
          <w:sz w:val="28"/>
          <w:szCs w:val="28"/>
        </w:rPr>
        <w:t>миллионникам</w:t>
      </w:r>
      <w:proofErr w:type="spellEnd"/>
      <w:r w:rsidRPr="00DB4BB9">
        <w:rPr>
          <w:rFonts w:ascii="Times New Roman" w:hAnsi="Times New Roman" w:cs="Times New Roman"/>
          <w:sz w:val="28"/>
          <w:szCs w:val="28"/>
        </w:rPr>
        <w:t xml:space="preserve"> </w:t>
      </w:r>
      <w:r w:rsidRPr="00DB4BB9">
        <w:rPr>
          <w:rFonts w:ascii="Times New Roman" w:hAnsi="Times New Roman" w:cs="Times New Roman"/>
          <w:i/>
          <w:sz w:val="28"/>
          <w:szCs w:val="28"/>
        </w:rPr>
        <w:t>(данные по Волгограду отсутствуют)</w:t>
      </w:r>
      <w:r w:rsidRPr="00DB4BB9">
        <w:rPr>
          <w:rFonts w:ascii="Times New Roman" w:hAnsi="Times New Roman" w:cs="Times New Roman"/>
          <w:sz w:val="28"/>
          <w:szCs w:val="28"/>
        </w:rPr>
        <w:t>.</w:t>
      </w:r>
      <w:r w:rsidRPr="00DB4B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58D9" w:rsidRPr="00DB4BB9">
        <w:rPr>
          <w:rFonts w:ascii="Times New Roman" w:hAnsi="Times New Roman" w:cs="Times New Roman"/>
          <w:sz w:val="28"/>
          <w:szCs w:val="28"/>
        </w:rPr>
        <w:t xml:space="preserve">В данном рейтинге </w:t>
      </w:r>
      <w:r w:rsidR="00452A23">
        <w:rPr>
          <w:rFonts w:ascii="Times New Roman" w:hAnsi="Times New Roman" w:cs="Times New Roman"/>
          <w:sz w:val="28"/>
          <w:szCs w:val="28"/>
        </w:rPr>
        <w:br/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с </w:t>
      </w:r>
      <w:r w:rsidR="00DB4BB9" w:rsidRPr="00DB4BB9">
        <w:rPr>
          <w:rFonts w:ascii="Times New Roman" w:hAnsi="Times New Roman" w:cs="Times New Roman"/>
          <w:sz w:val="28"/>
          <w:szCs w:val="28"/>
        </w:rPr>
        <w:t>5</w:t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-го места в 2022 году Красноярск опустился на </w:t>
      </w:r>
      <w:r w:rsidR="00DB4BB9" w:rsidRPr="00DB4BB9">
        <w:rPr>
          <w:rFonts w:ascii="Times New Roman" w:hAnsi="Times New Roman" w:cs="Times New Roman"/>
          <w:sz w:val="28"/>
          <w:szCs w:val="28"/>
        </w:rPr>
        <w:t>7</w:t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-е в 2023 году, сохранив эту позицию и в 2024 году. По итогам 9 месяцев 2025 года </w:t>
      </w:r>
      <w:r w:rsidR="00452A23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Красноярск занимает </w:t>
      </w:r>
      <w:r w:rsidR="000C58D9" w:rsidRPr="00DB4BB9">
        <w:rPr>
          <w:rFonts w:ascii="Times New Roman" w:hAnsi="Times New Roman" w:cs="Times New Roman"/>
          <w:sz w:val="28"/>
          <w:szCs w:val="28"/>
        </w:rPr>
        <w:br/>
        <w:t>5</w:t>
      </w:r>
      <w:r w:rsidR="00B3093C" w:rsidRPr="00DB4BB9">
        <w:rPr>
          <w:rFonts w:ascii="Times New Roman" w:hAnsi="Times New Roman" w:cs="Times New Roman"/>
          <w:sz w:val="28"/>
          <w:szCs w:val="28"/>
        </w:rPr>
        <w:t xml:space="preserve">-е место. В СФО </w:t>
      </w:r>
      <w:r w:rsidR="000C58D9" w:rsidRPr="00DB4BB9">
        <w:rPr>
          <w:rFonts w:ascii="Times New Roman" w:hAnsi="Times New Roman" w:cs="Times New Roman"/>
          <w:sz w:val="28"/>
          <w:szCs w:val="28"/>
        </w:rPr>
        <w:t>– 2-ое место</w:t>
      </w:r>
      <w:r w:rsidR="00B3093C" w:rsidRPr="00DB4BB9">
        <w:rPr>
          <w:rFonts w:ascii="Times New Roman" w:hAnsi="Times New Roman" w:cs="Times New Roman"/>
          <w:sz w:val="28"/>
          <w:szCs w:val="28"/>
        </w:rPr>
        <w:t>.</w:t>
      </w:r>
    </w:p>
    <w:p w:rsidR="00B3093C" w:rsidRPr="00B3093C" w:rsidRDefault="00B3093C" w:rsidP="00B3093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5CC">
        <w:rPr>
          <w:noProof/>
          <w:lang w:eastAsia="ru-RU"/>
        </w:rPr>
        <w:drawing>
          <wp:inline distT="0" distB="0" distL="0" distR="0" wp14:anchorId="52FAFE56" wp14:editId="01FC00D6">
            <wp:extent cx="6477000" cy="1800225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B30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93C" w:rsidRDefault="00B3093C" w:rsidP="00B3093C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B846DD">
        <w:rPr>
          <w:noProof/>
          <w:szCs w:val="28"/>
          <w:lang w:eastAsia="ru-RU"/>
        </w:rPr>
        <w:drawing>
          <wp:inline distT="0" distB="0" distL="0" distR="0" wp14:anchorId="49ECBF0F" wp14:editId="1A6A9218">
            <wp:extent cx="4381500" cy="1762125"/>
            <wp:effectExtent l="0" t="0" r="19050" b="9525"/>
            <wp:docPr id="3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3093C" w:rsidRPr="00F8280C" w:rsidRDefault="00B3093C" w:rsidP="000A70C8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</w:p>
    <w:p w:rsidR="00913A19" w:rsidRPr="00051209" w:rsidRDefault="00913A19" w:rsidP="00F8280C">
      <w:pPr>
        <w:pStyle w:val="a5"/>
        <w:spacing w:before="60" w:beforeAutospacing="0" w:after="0" w:afterAutospacing="0"/>
        <w:rPr>
          <w:sz w:val="28"/>
          <w:szCs w:val="28"/>
        </w:rPr>
      </w:pPr>
      <w:r w:rsidRPr="00051209">
        <w:rPr>
          <w:rStyle w:val="ab"/>
          <w:sz w:val="28"/>
          <w:szCs w:val="28"/>
        </w:rPr>
        <w:t>Общие выводы:</w:t>
      </w:r>
    </w:p>
    <w:p w:rsidR="000A4CC4" w:rsidRPr="00051209" w:rsidRDefault="000A4CC4" w:rsidP="00F8280C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Лидеры по социально-экономическому развитию:</w:t>
      </w:r>
      <w:r w:rsid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Казань, Краснодар демонстрируют высокие показатели по большинству параметров</w:t>
      </w:r>
      <w:r w:rsidR="00477E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7E7F"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отличаются 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высоким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</w:t>
      </w:r>
      <w:r w:rsidR="00477E7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</w:t>
      </w:r>
      <w:r w:rsidR="00592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аботной 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</w:t>
      </w:r>
      <w:r w:rsidR="005923D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923D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ввода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жилья и инвестиций,</w:t>
      </w:r>
      <w:r w:rsidR="0076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развитой промышленностью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лидерскими позициями на потребительском рынке</w:t>
      </w: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низким уровнем безработицы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4CC4" w:rsidRPr="00051209" w:rsidRDefault="000A4CC4" w:rsidP="00F8280C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 в общем рейтинге</w:t>
      </w:r>
      <w:r w:rsidR="00051209" w:rsidRP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демонстрирует устойчивое социально-экономическое развитие</w:t>
      </w:r>
      <w:r w:rsidRPr="00051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A4CC4" w:rsidRPr="00051209" w:rsidRDefault="00452A23" w:rsidP="00F8280C">
      <w:pPr>
        <w:numPr>
          <w:ilvl w:val="0"/>
          <w:numId w:val="6"/>
        </w:numPr>
        <w:shd w:val="clear" w:color="auto" w:fill="FFFFFF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входит </w:t>
      </w:r>
      <w:r w:rsidR="000A4CC4" w:rsidRPr="000512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 городов со средним уровнем развития</w:t>
      </w:r>
      <w:r w:rsidR="0058015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1209" w:rsidRPr="00051209" w:rsidRDefault="00452A23" w:rsidP="00F8280C">
      <w:pPr>
        <w:pStyle w:val="a5"/>
        <w:numPr>
          <w:ilvl w:val="0"/>
          <w:numId w:val="6"/>
        </w:numPr>
        <w:shd w:val="clear" w:color="auto" w:fill="FFFFFF"/>
        <w:spacing w:before="60" w:beforeAutospacing="0" w:after="0" w:afterAutospacing="0"/>
        <w:ind w:left="714" w:hanging="357"/>
        <w:rPr>
          <w:sz w:val="28"/>
          <w:szCs w:val="28"/>
        </w:rPr>
      </w:pPr>
      <w:r w:rsidRPr="00051209">
        <w:rPr>
          <w:sz w:val="28"/>
          <w:szCs w:val="28"/>
        </w:rPr>
        <w:t xml:space="preserve">сохраняет </w:t>
      </w:r>
      <w:r w:rsidR="00051209" w:rsidRPr="00051209">
        <w:rPr>
          <w:sz w:val="28"/>
          <w:szCs w:val="28"/>
        </w:rPr>
        <w:t>лидирующие позиции в СФО</w:t>
      </w:r>
      <w:r w:rsidR="0058015A">
        <w:rPr>
          <w:sz w:val="28"/>
          <w:szCs w:val="28"/>
        </w:rPr>
        <w:t>;</w:t>
      </w:r>
    </w:p>
    <w:p w:rsidR="00051209" w:rsidRPr="00051209" w:rsidRDefault="00452A23" w:rsidP="00F8280C">
      <w:pPr>
        <w:pStyle w:val="a5"/>
        <w:numPr>
          <w:ilvl w:val="0"/>
          <w:numId w:val="6"/>
        </w:numPr>
        <w:shd w:val="clear" w:color="auto" w:fill="FFFFFF"/>
        <w:spacing w:before="60" w:beforeAutospacing="0" w:after="0" w:afterAutospacing="0"/>
        <w:ind w:left="714" w:hanging="357"/>
        <w:rPr>
          <w:sz w:val="28"/>
          <w:szCs w:val="28"/>
        </w:rPr>
      </w:pPr>
      <w:r w:rsidRPr="00051209">
        <w:rPr>
          <w:sz w:val="28"/>
          <w:szCs w:val="28"/>
        </w:rPr>
        <w:t xml:space="preserve">показывает </w:t>
      </w:r>
      <w:r w:rsidR="00051209" w:rsidRPr="00051209">
        <w:rPr>
          <w:sz w:val="28"/>
          <w:szCs w:val="28"/>
        </w:rPr>
        <w:t>стабильный рост основных экономических показателей</w:t>
      </w:r>
      <w:r w:rsidR="0058015A">
        <w:rPr>
          <w:sz w:val="28"/>
          <w:szCs w:val="28"/>
        </w:rPr>
        <w:t>;</w:t>
      </w:r>
    </w:p>
    <w:p w:rsidR="00051209" w:rsidRDefault="00452A23" w:rsidP="00F8280C">
      <w:pPr>
        <w:pStyle w:val="a5"/>
        <w:numPr>
          <w:ilvl w:val="0"/>
          <w:numId w:val="6"/>
        </w:numPr>
        <w:shd w:val="clear" w:color="auto" w:fill="FFFFFF"/>
        <w:spacing w:before="60" w:beforeAutospacing="0" w:after="0" w:afterAutospacing="0"/>
        <w:ind w:left="714" w:hanging="357"/>
        <w:rPr>
          <w:sz w:val="28"/>
          <w:szCs w:val="28"/>
        </w:rPr>
      </w:pPr>
      <w:r w:rsidRPr="00051209">
        <w:rPr>
          <w:sz w:val="28"/>
          <w:szCs w:val="28"/>
        </w:rPr>
        <w:t xml:space="preserve">демонстрирует </w:t>
      </w:r>
      <w:r w:rsidR="00051209" w:rsidRPr="00051209">
        <w:rPr>
          <w:sz w:val="28"/>
          <w:szCs w:val="28"/>
        </w:rPr>
        <w:t>высокие показатели заработной платы</w:t>
      </w:r>
      <w:r w:rsidR="00A37D98">
        <w:rPr>
          <w:sz w:val="28"/>
          <w:szCs w:val="28"/>
        </w:rPr>
        <w:t>.</w:t>
      </w:r>
    </w:p>
    <w:p w:rsidR="00F8280C" w:rsidRPr="00F8280C" w:rsidRDefault="00F8280C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E0DC3" w:rsidRPr="00863E2D" w:rsidRDefault="006E0DC3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Руководитель департамента </w:t>
      </w:r>
    </w:p>
    <w:p w:rsidR="006E0DC3" w:rsidRPr="00863E2D" w:rsidRDefault="006E0DC3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экономической политики и </w:t>
      </w:r>
    </w:p>
    <w:p w:rsidR="006E0DC3" w:rsidRPr="00863E2D" w:rsidRDefault="006E0DC3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>инвестиционного развития</w:t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863E2D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  <w:t>И.Р. Антипина</w:t>
      </w:r>
    </w:p>
    <w:p w:rsidR="006E0DC3" w:rsidRPr="0020371B" w:rsidRDefault="006E0DC3" w:rsidP="006E0DC3">
      <w:pPr>
        <w:suppressAutoHyphens/>
        <w:spacing w:after="0" w:line="240" w:lineRule="auto"/>
        <w:ind w:right="-624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6E0DC3" w:rsidRDefault="006E0DC3" w:rsidP="006E0DC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  <w:t>Морозова Светлана Юрьевна,</w:t>
      </w:r>
    </w:p>
    <w:p w:rsidR="00477E7F" w:rsidRDefault="006E0DC3" w:rsidP="006E0DC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</w:pPr>
      <w:r w:rsidRPr="00863E2D"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  <w:t>Маскина Татьяна Александровна, 226-10-95</w:t>
      </w:r>
    </w:p>
    <w:p w:rsidR="00F8280C" w:rsidRDefault="00F8280C" w:rsidP="006E0DC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16"/>
          <w:lang w:eastAsia="ar-SA"/>
        </w:rPr>
      </w:pPr>
    </w:p>
    <w:sectPr w:rsidR="00F8280C" w:rsidSect="00B44B9A">
      <w:footerReference w:type="default" r:id="rId46"/>
      <w:pgSz w:w="11906" w:h="16838"/>
      <w:pgMar w:top="993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C2F" w:rsidRDefault="005D3C2F" w:rsidP="00BC44DC">
      <w:pPr>
        <w:spacing w:after="0" w:line="240" w:lineRule="auto"/>
      </w:pPr>
      <w:r>
        <w:separator/>
      </w:r>
    </w:p>
  </w:endnote>
  <w:endnote w:type="continuationSeparator" w:id="0">
    <w:p w:rsidR="005D3C2F" w:rsidRDefault="005D3C2F" w:rsidP="00BC44DC">
      <w:pPr>
        <w:spacing w:after="0" w:line="240" w:lineRule="auto"/>
      </w:pPr>
      <w:r>
        <w:continuationSeparator/>
      </w:r>
    </w:p>
  </w:endnote>
  <w:endnote w:id="1">
    <w:p w:rsidR="00B231E8" w:rsidRPr="00B231E8" w:rsidRDefault="00BC44DC" w:rsidP="000A70C8">
      <w:pPr>
        <w:pStyle w:val="a6"/>
        <w:rPr>
          <w:rFonts w:ascii="Times New Roman" w:hAnsi="Times New Roman" w:cs="Times New Roman"/>
          <w:i/>
          <w:sz w:val="28"/>
        </w:rPr>
      </w:pPr>
      <w:r w:rsidRPr="00C62069">
        <w:rPr>
          <w:rStyle w:val="a8"/>
          <w:rFonts w:ascii="Times New Roman" w:hAnsi="Times New Roman" w:cs="Times New Roman"/>
          <w:i/>
          <w:sz w:val="22"/>
        </w:rPr>
        <w:endnoteRef/>
      </w:r>
      <w:r w:rsidRPr="00C62069">
        <w:rPr>
          <w:rFonts w:ascii="Times New Roman" w:hAnsi="Times New Roman" w:cs="Times New Roman"/>
          <w:i/>
          <w:sz w:val="22"/>
        </w:rPr>
        <w:t xml:space="preserve"> </w:t>
      </w:r>
      <w:r w:rsidRPr="000A70C8">
        <w:rPr>
          <w:rFonts w:ascii="Times New Roman" w:hAnsi="Times New Roman" w:cs="Times New Roman"/>
          <w:i/>
          <w:sz w:val="16"/>
        </w:rPr>
        <w:t>Информация подготовлена на основе данных предоставленных Управлением Федеральной службы государственной статистики по Красноярскому краю, Республике Хакасия и Республике Тыва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1791327"/>
      <w:docPartObj>
        <w:docPartGallery w:val="Page Numbers (Bottom of Page)"/>
        <w:docPartUnique/>
      </w:docPartObj>
    </w:sdtPr>
    <w:sdtEndPr/>
    <w:sdtContent>
      <w:p w:rsidR="0040765E" w:rsidRDefault="0040765E">
        <w:pPr>
          <w:pStyle w:val="af"/>
          <w:jc w:val="right"/>
        </w:pPr>
        <w:r w:rsidRPr="007C4DCD">
          <w:rPr>
            <w:rFonts w:ascii="Times New Roman" w:hAnsi="Times New Roman" w:cs="Times New Roman"/>
          </w:rPr>
          <w:fldChar w:fldCharType="begin"/>
        </w:r>
        <w:r w:rsidRPr="007C4DCD">
          <w:rPr>
            <w:rFonts w:ascii="Times New Roman" w:hAnsi="Times New Roman" w:cs="Times New Roman"/>
          </w:rPr>
          <w:instrText>PAGE   \* MERGEFORMAT</w:instrText>
        </w:r>
        <w:r w:rsidRPr="007C4DCD">
          <w:rPr>
            <w:rFonts w:ascii="Times New Roman" w:hAnsi="Times New Roman" w:cs="Times New Roman"/>
          </w:rPr>
          <w:fldChar w:fldCharType="separate"/>
        </w:r>
        <w:r w:rsidR="006B1D00">
          <w:rPr>
            <w:rFonts w:ascii="Times New Roman" w:hAnsi="Times New Roman" w:cs="Times New Roman"/>
            <w:noProof/>
          </w:rPr>
          <w:t>11</w:t>
        </w:r>
        <w:r w:rsidRPr="007C4DCD">
          <w:rPr>
            <w:rFonts w:ascii="Times New Roman" w:hAnsi="Times New Roman" w:cs="Times New Roman"/>
          </w:rPr>
          <w:fldChar w:fldCharType="end"/>
        </w:r>
      </w:p>
    </w:sdtContent>
  </w:sdt>
  <w:p w:rsidR="0040765E" w:rsidRDefault="0040765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C2F" w:rsidRDefault="005D3C2F" w:rsidP="00BC44DC">
      <w:pPr>
        <w:spacing w:after="0" w:line="240" w:lineRule="auto"/>
      </w:pPr>
      <w:r>
        <w:separator/>
      </w:r>
    </w:p>
  </w:footnote>
  <w:footnote w:type="continuationSeparator" w:id="0">
    <w:p w:rsidR="005D3C2F" w:rsidRDefault="005D3C2F" w:rsidP="00BC4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0D1C"/>
    <w:multiLevelType w:val="multilevel"/>
    <w:tmpl w:val="23D85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12775"/>
    <w:multiLevelType w:val="multilevel"/>
    <w:tmpl w:val="D22A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52E11"/>
    <w:multiLevelType w:val="multilevel"/>
    <w:tmpl w:val="DA28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AA0020"/>
    <w:multiLevelType w:val="multilevel"/>
    <w:tmpl w:val="E7DE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0B7E2E"/>
    <w:multiLevelType w:val="hybridMultilevel"/>
    <w:tmpl w:val="1F4058D2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DD25B60"/>
    <w:multiLevelType w:val="multilevel"/>
    <w:tmpl w:val="528C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91F4E"/>
    <w:multiLevelType w:val="multilevel"/>
    <w:tmpl w:val="5E90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0E0513"/>
    <w:multiLevelType w:val="hybridMultilevel"/>
    <w:tmpl w:val="1F4058D2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DC66CE1"/>
    <w:multiLevelType w:val="multilevel"/>
    <w:tmpl w:val="A27A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56739E"/>
    <w:multiLevelType w:val="multilevel"/>
    <w:tmpl w:val="8EAE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DD3"/>
    <w:rsid w:val="000002D4"/>
    <w:rsid w:val="00010F84"/>
    <w:rsid w:val="000144E7"/>
    <w:rsid w:val="0002405E"/>
    <w:rsid w:val="000258BB"/>
    <w:rsid w:val="00026B91"/>
    <w:rsid w:val="00030DDA"/>
    <w:rsid w:val="00031998"/>
    <w:rsid w:val="00034A7F"/>
    <w:rsid w:val="00041DF9"/>
    <w:rsid w:val="00047906"/>
    <w:rsid w:val="00051209"/>
    <w:rsid w:val="00053F54"/>
    <w:rsid w:val="00057E52"/>
    <w:rsid w:val="000615F3"/>
    <w:rsid w:val="00062546"/>
    <w:rsid w:val="00073CA7"/>
    <w:rsid w:val="0007785D"/>
    <w:rsid w:val="00096425"/>
    <w:rsid w:val="000A4CC4"/>
    <w:rsid w:val="000A70C8"/>
    <w:rsid w:val="000A7F4F"/>
    <w:rsid w:val="000B74EB"/>
    <w:rsid w:val="000C075C"/>
    <w:rsid w:val="000C2588"/>
    <w:rsid w:val="000C58D9"/>
    <w:rsid w:val="000C651B"/>
    <w:rsid w:val="000C674E"/>
    <w:rsid w:val="000D21D7"/>
    <w:rsid w:val="000D6647"/>
    <w:rsid w:val="000D6F05"/>
    <w:rsid w:val="000E7AD8"/>
    <w:rsid w:val="000E7E5E"/>
    <w:rsid w:val="000F240D"/>
    <w:rsid w:val="000F263F"/>
    <w:rsid w:val="00104641"/>
    <w:rsid w:val="0010493E"/>
    <w:rsid w:val="00110D47"/>
    <w:rsid w:val="00111899"/>
    <w:rsid w:val="001165CC"/>
    <w:rsid w:val="00124F9B"/>
    <w:rsid w:val="0012639A"/>
    <w:rsid w:val="00127891"/>
    <w:rsid w:val="001331B3"/>
    <w:rsid w:val="00135527"/>
    <w:rsid w:val="00140C01"/>
    <w:rsid w:val="0014119D"/>
    <w:rsid w:val="001414F0"/>
    <w:rsid w:val="00141545"/>
    <w:rsid w:val="001447C3"/>
    <w:rsid w:val="001522DD"/>
    <w:rsid w:val="00156663"/>
    <w:rsid w:val="001579CE"/>
    <w:rsid w:val="00157B10"/>
    <w:rsid w:val="00161530"/>
    <w:rsid w:val="00165C3C"/>
    <w:rsid w:val="00166332"/>
    <w:rsid w:val="00166DB2"/>
    <w:rsid w:val="00173B47"/>
    <w:rsid w:val="00183393"/>
    <w:rsid w:val="0018581A"/>
    <w:rsid w:val="00186F7B"/>
    <w:rsid w:val="00194BD9"/>
    <w:rsid w:val="00197EF0"/>
    <w:rsid w:val="001A02F6"/>
    <w:rsid w:val="001A0BE5"/>
    <w:rsid w:val="001A7C84"/>
    <w:rsid w:val="001B2381"/>
    <w:rsid w:val="001B2A3F"/>
    <w:rsid w:val="001B3FB8"/>
    <w:rsid w:val="001B5779"/>
    <w:rsid w:val="001B61CE"/>
    <w:rsid w:val="001C06C7"/>
    <w:rsid w:val="001C66C3"/>
    <w:rsid w:val="001D1D0D"/>
    <w:rsid w:val="001D23BB"/>
    <w:rsid w:val="001D2F59"/>
    <w:rsid w:val="001D41A9"/>
    <w:rsid w:val="001D6CD5"/>
    <w:rsid w:val="001E010B"/>
    <w:rsid w:val="001E3FD4"/>
    <w:rsid w:val="001E50FA"/>
    <w:rsid w:val="001E6F8F"/>
    <w:rsid w:val="001E7BF4"/>
    <w:rsid w:val="001F1DCE"/>
    <w:rsid w:val="001F7DD5"/>
    <w:rsid w:val="00200889"/>
    <w:rsid w:val="00205A6B"/>
    <w:rsid w:val="002112BF"/>
    <w:rsid w:val="0021551A"/>
    <w:rsid w:val="002353D5"/>
    <w:rsid w:val="00236E22"/>
    <w:rsid w:val="0024331B"/>
    <w:rsid w:val="00251A40"/>
    <w:rsid w:val="00252F74"/>
    <w:rsid w:val="00257B9A"/>
    <w:rsid w:val="00257EA6"/>
    <w:rsid w:val="00264022"/>
    <w:rsid w:val="002729F6"/>
    <w:rsid w:val="00274DDE"/>
    <w:rsid w:val="002A1D8E"/>
    <w:rsid w:val="002A3300"/>
    <w:rsid w:val="002A7D6B"/>
    <w:rsid w:val="002B1F74"/>
    <w:rsid w:val="002D2DAB"/>
    <w:rsid w:val="002D7076"/>
    <w:rsid w:val="002E7674"/>
    <w:rsid w:val="002F0445"/>
    <w:rsid w:val="002F0729"/>
    <w:rsid w:val="002F1D7B"/>
    <w:rsid w:val="002F37BE"/>
    <w:rsid w:val="00306A0C"/>
    <w:rsid w:val="00320888"/>
    <w:rsid w:val="00321D8E"/>
    <w:rsid w:val="00322C9A"/>
    <w:rsid w:val="00326F03"/>
    <w:rsid w:val="00327689"/>
    <w:rsid w:val="003317C7"/>
    <w:rsid w:val="00335031"/>
    <w:rsid w:val="00336D50"/>
    <w:rsid w:val="00345019"/>
    <w:rsid w:val="00346520"/>
    <w:rsid w:val="00350A4D"/>
    <w:rsid w:val="003515AB"/>
    <w:rsid w:val="00356C91"/>
    <w:rsid w:val="00363B32"/>
    <w:rsid w:val="003731DA"/>
    <w:rsid w:val="00373334"/>
    <w:rsid w:val="00391156"/>
    <w:rsid w:val="003968E7"/>
    <w:rsid w:val="00397025"/>
    <w:rsid w:val="003A282E"/>
    <w:rsid w:val="003A58FB"/>
    <w:rsid w:val="003B065F"/>
    <w:rsid w:val="003C0DEE"/>
    <w:rsid w:val="003C2F67"/>
    <w:rsid w:val="003C3A41"/>
    <w:rsid w:val="003C6B11"/>
    <w:rsid w:val="003D2720"/>
    <w:rsid w:val="003D331C"/>
    <w:rsid w:val="003D6BD3"/>
    <w:rsid w:val="003D75D5"/>
    <w:rsid w:val="003D7E98"/>
    <w:rsid w:val="003E1229"/>
    <w:rsid w:val="003E25F5"/>
    <w:rsid w:val="003E5ADE"/>
    <w:rsid w:val="003F0810"/>
    <w:rsid w:val="003F2442"/>
    <w:rsid w:val="003F41CC"/>
    <w:rsid w:val="003F495E"/>
    <w:rsid w:val="00400734"/>
    <w:rsid w:val="00400E0C"/>
    <w:rsid w:val="0040765E"/>
    <w:rsid w:val="00412F69"/>
    <w:rsid w:val="004168E4"/>
    <w:rsid w:val="00416ADD"/>
    <w:rsid w:val="00427177"/>
    <w:rsid w:val="004335E1"/>
    <w:rsid w:val="00436803"/>
    <w:rsid w:val="00440BC5"/>
    <w:rsid w:val="00441DED"/>
    <w:rsid w:val="00447E6A"/>
    <w:rsid w:val="00452A23"/>
    <w:rsid w:val="00455203"/>
    <w:rsid w:val="004616AF"/>
    <w:rsid w:val="00466611"/>
    <w:rsid w:val="0046749F"/>
    <w:rsid w:val="00467A1B"/>
    <w:rsid w:val="00474BA3"/>
    <w:rsid w:val="00474CB1"/>
    <w:rsid w:val="00477E7F"/>
    <w:rsid w:val="004819F6"/>
    <w:rsid w:val="00482251"/>
    <w:rsid w:val="00482CC9"/>
    <w:rsid w:val="0049722A"/>
    <w:rsid w:val="004B0024"/>
    <w:rsid w:val="004B3B98"/>
    <w:rsid w:val="004B795F"/>
    <w:rsid w:val="004B7C7B"/>
    <w:rsid w:val="004D2CE3"/>
    <w:rsid w:val="004D5C48"/>
    <w:rsid w:val="004D6097"/>
    <w:rsid w:val="004D612C"/>
    <w:rsid w:val="004E1406"/>
    <w:rsid w:val="004E16D7"/>
    <w:rsid w:val="004E2F34"/>
    <w:rsid w:val="004E3371"/>
    <w:rsid w:val="004E3B9E"/>
    <w:rsid w:val="00504E17"/>
    <w:rsid w:val="00504F6C"/>
    <w:rsid w:val="005052DE"/>
    <w:rsid w:val="005060C9"/>
    <w:rsid w:val="00522925"/>
    <w:rsid w:val="00536D2F"/>
    <w:rsid w:val="0054447E"/>
    <w:rsid w:val="00544E2C"/>
    <w:rsid w:val="0054530B"/>
    <w:rsid w:val="005516B7"/>
    <w:rsid w:val="00553330"/>
    <w:rsid w:val="00563409"/>
    <w:rsid w:val="0056371F"/>
    <w:rsid w:val="0056476B"/>
    <w:rsid w:val="0056711B"/>
    <w:rsid w:val="00567DBD"/>
    <w:rsid w:val="00574C30"/>
    <w:rsid w:val="00575967"/>
    <w:rsid w:val="0058015A"/>
    <w:rsid w:val="00583DA7"/>
    <w:rsid w:val="00584E7F"/>
    <w:rsid w:val="005923D3"/>
    <w:rsid w:val="005930DB"/>
    <w:rsid w:val="00595DD2"/>
    <w:rsid w:val="00597C29"/>
    <w:rsid w:val="005A0325"/>
    <w:rsid w:val="005B479A"/>
    <w:rsid w:val="005B4D54"/>
    <w:rsid w:val="005B50A1"/>
    <w:rsid w:val="005C0F51"/>
    <w:rsid w:val="005C4C37"/>
    <w:rsid w:val="005D21B7"/>
    <w:rsid w:val="005D3AFC"/>
    <w:rsid w:val="005D3C2F"/>
    <w:rsid w:val="005D614E"/>
    <w:rsid w:val="005D737F"/>
    <w:rsid w:val="00603EA4"/>
    <w:rsid w:val="006040B0"/>
    <w:rsid w:val="0060562B"/>
    <w:rsid w:val="00610B0A"/>
    <w:rsid w:val="0061246F"/>
    <w:rsid w:val="00623EEB"/>
    <w:rsid w:val="00624C24"/>
    <w:rsid w:val="00626D15"/>
    <w:rsid w:val="00630197"/>
    <w:rsid w:val="00631D8C"/>
    <w:rsid w:val="00632445"/>
    <w:rsid w:val="00635DD4"/>
    <w:rsid w:val="00644E51"/>
    <w:rsid w:val="0065548C"/>
    <w:rsid w:val="006570FF"/>
    <w:rsid w:val="00662598"/>
    <w:rsid w:val="0066385D"/>
    <w:rsid w:val="0066451F"/>
    <w:rsid w:val="0066556B"/>
    <w:rsid w:val="00667531"/>
    <w:rsid w:val="006826F2"/>
    <w:rsid w:val="006906A3"/>
    <w:rsid w:val="00690B1A"/>
    <w:rsid w:val="00691240"/>
    <w:rsid w:val="006A2EE6"/>
    <w:rsid w:val="006A41E7"/>
    <w:rsid w:val="006A547D"/>
    <w:rsid w:val="006A6CCA"/>
    <w:rsid w:val="006B07E4"/>
    <w:rsid w:val="006B1D00"/>
    <w:rsid w:val="006B470F"/>
    <w:rsid w:val="006B5CA4"/>
    <w:rsid w:val="006C053A"/>
    <w:rsid w:val="006C1BF5"/>
    <w:rsid w:val="006C586E"/>
    <w:rsid w:val="006D277A"/>
    <w:rsid w:val="006D3473"/>
    <w:rsid w:val="006D40EB"/>
    <w:rsid w:val="006E0DC3"/>
    <w:rsid w:val="006F4CE7"/>
    <w:rsid w:val="0070015E"/>
    <w:rsid w:val="00701B42"/>
    <w:rsid w:val="00703050"/>
    <w:rsid w:val="00707103"/>
    <w:rsid w:val="00710EDC"/>
    <w:rsid w:val="007145C7"/>
    <w:rsid w:val="007211BE"/>
    <w:rsid w:val="0073067E"/>
    <w:rsid w:val="0073201D"/>
    <w:rsid w:val="00733BB8"/>
    <w:rsid w:val="00735299"/>
    <w:rsid w:val="00746C5A"/>
    <w:rsid w:val="00746F52"/>
    <w:rsid w:val="00763E85"/>
    <w:rsid w:val="00763F4A"/>
    <w:rsid w:val="007643A0"/>
    <w:rsid w:val="00771D15"/>
    <w:rsid w:val="00775070"/>
    <w:rsid w:val="00776052"/>
    <w:rsid w:val="00781659"/>
    <w:rsid w:val="00786E92"/>
    <w:rsid w:val="0079075C"/>
    <w:rsid w:val="00790916"/>
    <w:rsid w:val="0079214F"/>
    <w:rsid w:val="00793C3B"/>
    <w:rsid w:val="007A1E48"/>
    <w:rsid w:val="007A59DE"/>
    <w:rsid w:val="007B3387"/>
    <w:rsid w:val="007B4C89"/>
    <w:rsid w:val="007B7B46"/>
    <w:rsid w:val="007C240C"/>
    <w:rsid w:val="007C4DCD"/>
    <w:rsid w:val="007C66EB"/>
    <w:rsid w:val="007C6E8B"/>
    <w:rsid w:val="007D0DA2"/>
    <w:rsid w:val="007D14E2"/>
    <w:rsid w:val="007D6651"/>
    <w:rsid w:val="007D6F5C"/>
    <w:rsid w:val="007E1D38"/>
    <w:rsid w:val="007E29E2"/>
    <w:rsid w:val="007E4377"/>
    <w:rsid w:val="007E6B70"/>
    <w:rsid w:val="007F17BB"/>
    <w:rsid w:val="007F7FAC"/>
    <w:rsid w:val="00804734"/>
    <w:rsid w:val="008117CE"/>
    <w:rsid w:val="008211C1"/>
    <w:rsid w:val="00821A0E"/>
    <w:rsid w:val="008235E2"/>
    <w:rsid w:val="00824EE4"/>
    <w:rsid w:val="00836E70"/>
    <w:rsid w:val="00837AF3"/>
    <w:rsid w:val="00841FE4"/>
    <w:rsid w:val="00844214"/>
    <w:rsid w:val="00845A68"/>
    <w:rsid w:val="00854610"/>
    <w:rsid w:val="00854C86"/>
    <w:rsid w:val="0085725A"/>
    <w:rsid w:val="00871EC5"/>
    <w:rsid w:val="0087327A"/>
    <w:rsid w:val="00882835"/>
    <w:rsid w:val="00884BEA"/>
    <w:rsid w:val="00890B61"/>
    <w:rsid w:val="00895847"/>
    <w:rsid w:val="008A1AFC"/>
    <w:rsid w:val="008A26DD"/>
    <w:rsid w:val="008A36C9"/>
    <w:rsid w:val="008A6B85"/>
    <w:rsid w:val="008B4A1B"/>
    <w:rsid w:val="008B5312"/>
    <w:rsid w:val="008B5377"/>
    <w:rsid w:val="008C36B2"/>
    <w:rsid w:val="008D1D0B"/>
    <w:rsid w:val="008D4063"/>
    <w:rsid w:val="008E21B1"/>
    <w:rsid w:val="008E4A29"/>
    <w:rsid w:val="008F5FD8"/>
    <w:rsid w:val="00906938"/>
    <w:rsid w:val="00906BA8"/>
    <w:rsid w:val="009076A7"/>
    <w:rsid w:val="0091022E"/>
    <w:rsid w:val="009136F0"/>
    <w:rsid w:val="00913A19"/>
    <w:rsid w:val="00915958"/>
    <w:rsid w:val="00920DD1"/>
    <w:rsid w:val="00924DD3"/>
    <w:rsid w:val="00930075"/>
    <w:rsid w:val="00931422"/>
    <w:rsid w:val="00942078"/>
    <w:rsid w:val="0094323B"/>
    <w:rsid w:val="00957F9E"/>
    <w:rsid w:val="00961A33"/>
    <w:rsid w:val="00965EF8"/>
    <w:rsid w:val="00966CBB"/>
    <w:rsid w:val="00976257"/>
    <w:rsid w:val="0098143F"/>
    <w:rsid w:val="00984330"/>
    <w:rsid w:val="00984692"/>
    <w:rsid w:val="00984C74"/>
    <w:rsid w:val="0098734E"/>
    <w:rsid w:val="00991EF1"/>
    <w:rsid w:val="009A0176"/>
    <w:rsid w:val="009A10CA"/>
    <w:rsid w:val="009A6BBF"/>
    <w:rsid w:val="009B080C"/>
    <w:rsid w:val="009B327F"/>
    <w:rsid w:val="009B669B"/>
    <w:rsid w:val="009C1CE8"/>
    <w:rsid w:val="009C2DD9"/>
    <w:rsid w:val="009C3316"/>
    <w:rsid w:val="009C750F"/>
    <w:rsid w:val="009D2B6B"/>
    <w:rsid w:val="009E4AF2"/>
    <w:rsid w:val="009F4954"/>
    <w:rsid w:val="00A005CC"/>
    <w:rsid w:val="00A10440"/>
    <w:rsid w:val="00A10D17"/>
    <w:rsid w:val="00A1307B"/>
    <w:rsid w:val="00A15A7F"/>
    <w:rsid w:val="00A15E25"/>
    <w:rsid w:val="00A221E7"/>
    <w:rsid w:val="00A302BC"/>
    <w:rsid w:val="00A336E4"/>
    <w:rsid w:val="00A37D98"/>
    <w:rsid w:val="00A5412A"/>
    <w:rsid w:val="00A55BDA"/>
    <w:rsid w:val="00A625C6"/>
    <w:rsid w:val="00A72ACF"/>
    <w:rsid w:val="00A7363E"/>
    <w:rsid w:val="00A76E64"/>
    <w:rsid w:val="00AA1B6D"/>
    <w:rsid w:val="00AA3B32"/>
    <w:rsid w:val="00AB1759"/>
    <w:rsid w:val="00AB1838"/>
    <w:rsid w:val="00AB1F15"/>
    <w:rsid w:val="00AB5AEC"/>
    <w:rsid w:val="00AB5F28"/>
    <w:rsid w:val="00AC441A"/>
    <w:rsid w:val="00AC5115"/>
    <w:rsid w:val="00AC7174"/>
    <w:rsid w:val="00AC7F94"/>
    <w:rsid w:val="00AD3693"/>
    <w:rsid w:val="00AD3A3D"/>
    <w:rsid w:val="00AD5A2B"/>
    <w:rsid w:val="00AD7D1D"/>
    <w:rsid w:val="00AE0310"/>
    <w:rsid w:val="00AE68FF"/>
    <w:rsid w:val="00AF7D09"/>
    <w:rsid w:val="00AF7F8E"/>
    <w:rsid w:val="00B11B88"/>
    <w:rsid w:val="00B21468"/>
    <w:rsid w:val="00B231E8"/>
    <w:rsid w:val="00B2546F"/>
    <w:rsid w:val="00B3093C"/>
    <w:rsid w:val="00B40C10"/>
    <w:rsid w:val="00B43F57"/>
    <w:rsid w:val="00B44B9A"/>
    <w:rsid w:val="00B47AE4"/>
    <w:rsid w:val="00B47FB9"/>
    <w:rsid w:val="00B54290"/>
    <w:rsid w:val="00B560EA"/>
    <w:rsid w:val="00B65F40"/>
    <w:rsid w:val="00B72B35"/>
    <w:rsid w:val="00B73A63"/>
    <w:rsid w:val="00B82BEC"/>
    <w:rsid w:val="00B86DA1"/>
    <w:rsid w:val="00B873AA"/>
    <w:rsid w:val="00B873CC"/>
    <w:rsid w:val="00B90678"/>
    <w:rsid w:val="00B9132A"/>
    <w:rsid w:val="00B92B95"/>
    <w:rsid w:val="00B95A76"/>
    <w:rsid w:val="00B962E8"/>
    <w:rsid w:val="00BA383E"/>
    <w:rsid w:val="00BA42D2"/>
    <w:rsid w:val="00BA5F97"/>
    <w:rsid w:val="00BA662F"/>
    <w:rsid w:val="00BA79E8"/>
    <w:rsid w:val="00BB1785"/>
    <w:rsid w:val="00BB3DC5"/>
    <w:rsid w:val="00BC028B"/>
    <w:rsid w:val="00BC44DC"/>
    <w:rsid w:val="00BC5F8E"/>
    <w:rsid w:val="00BD1BEC"/>
    <w:rsid w:val="00BD38E4"/>
    <w:rsid w:val="00BD44DD"/>
    <w:rsid w:val="00BD594A"/>
    <w:rsid w:val="00BD6E1D"/>
    <w:rsid w:val="00BD7BF6"/>
    <w:rsid w:val="00BE1349"/>
    <w:rsid w:val="00BE7018"/>
    <w:rsid w:val="00BE72A2"/>
    <w:rsid w:val="00BF215E"/>
    <w:rsid w:val="00BF4701"/>
    <w:rsid w:val="00C03092"/>
    <w:rsid w:val="00C03BC9"/>
    <w:rsid w:val="00C04B5F"/>
    <w:rsid w:val="00C111DB"/>
    <w:rsid w:val="00C20489"/>
    <w:rsid w:val="00C225CC"/>
    <w:rsid w:val="00C2392A"/>
    <w:rsid w:val="00C265C1"/>
    <w:rsid w:val="00C2661A"/>
    <w:rsid w:val="00C367EF"/>
    <w:rsid w:val="00C408CA"/>
    <w:rsid w:val="00C430FF"/>
    <w:rsid w:val="00C459B6"/>
    <w:rsid w:val="00C51160"/>
    <w:rsid w:val="00C54F00"/>
    <w:rsid w:val="00C57E07"/>
    <w:rsid w:val="00C60979"/>
    <w:rsid w:val="00C62069"/>
    <w:rsid w:val="00C62CFA"/>
    <w:rsid w:val="00C6446C"/>
    <w:rsid w:val="00C65296"/>
    <w:rsid w:val="00C70231"/>
    <w:rsid w:val="00C70319"/>
    <w:rsid w:val="00C707BE"/>
    <w:rsid w:val="00C719F8"/>
    <w:rsid w:val="00C71A8B"/>
    <w:rsid w:val="00C75EB9"/>
    <w:rsid w:val="00C81664"/>
    <w:rsid w:val="00C82895"/>
    <w:rsid w:val="00C91647"/>
    <w:rsid w:val="00C92DEA"/>
    <w:rsid w:val="00C95635"/>
    <w:rsid w:val="00CA0C7D"/>
    <w:rsid w:val="00CA6992"/>
    <w:rsid w:val="00CB02F8"/>
    <w:rsid w:val="00CB3AE9"/>
    <w:rsid w:val="00CB4374"/>
    <w:rsid w:val="00CB5B6B"/>
    <w:rsid w:val="00CC1285"/>
    <w:rsid w:val="00CC298A"/>
    <w:rsid w:val="00CC2A0C"/>
    <w:rsid w:val="00CD211B"/>
    <w:rsid w:val="00CE0007"/>
    <w:rsid w:val="00CE0B3B"/>
    <w:rsid w:val="00CE1A86"/>
    <w:rsid w:val="00CF0636"/>
    <w:rsid w:val="00D004FF"/>
    <w:rsid w:val="00D0164B"/>
    <w:rsid w:val="00D040DF"/>
    <w:rsid w:val="00D070E1"/>
    <w:rsid w:val="00D07B7D"/>
    <w:rsid w:val="00D11737"/>
    <w:rsid w:val="00D13CE3"/>
    <w:rsid w:val="00D142E1"/>
    <w:rsid w:val="00D16280"/>
    <w:rsid w:val="00D169DD"/>
    <w:rsid w:val="00D207CE"/>
    <w:rsid w:val="00D2245F"/>
    <w:rsid w:val="00D230CF"/>
    <w:rsid w:val="00D264F1"/>
    <w:rsid w:val="00D35BE4"/>
    <w:rsid w:val="00D40CF3"/>
    <w:rsid w:val="00D42B5D"/>
    <w:rsid w:val="00D4468C"/>
    <w:rsid w:val="00D50B7A"/>
    <w:rsid w:val="00D53242"/>
    <w:rsid w:val="00D65817"/>
    <w:rsid w:val="00D7059D"/>
    <w:rsid w:val="00D726B6"/>
    <w:rsid w:val="00D84874"/>
    <w:rsid w:val="00D97496"/>
    <w:rsid w:val="00D97632"/>
    <w:rsid w:val="00DA1833"/>
    <w:rsid w:val="00DB15B0"/>
    <w:rsid w:val="00DB29D7"/>
    <w:rsid w:val="00DB475A"/>
    <w:rsid w:val="00DB4909"/>
    <w:rsid w:val="00DB4BB9"/>
    <w:rsid w:val="00DB7129"/>
    <w:rsid w:val="00DC0623"/>
    <w:rsid w:val="00DC4F7E"/>
    <w:rsid w:val="00DC6E2C"/>
    <w:rsid w:val="00DD1680"/>
    <w:rsid w:val="00DE20E4"/>
    <w:rsid w:val="00DE3120"/>
    <w:rsid w:val="00DE426E"/>
    <w:rsid w:val="00E019D7"/>
    <w:rsid w:val="00E16C8D"/>
    <w:rsid w:val="00E16F49"/>
    <w:rsid w:val="00E178A9"/>
    <w:rsid w:val="00E243F0"/>
    <w:rsid w:val="00E25D4F"/>
    <w:rsid w:val="00E275FB"/>
    <w:rsid w:val="00E31210"/>
    <w:rsid w:val="00E339C0"/>
    <w:rsid w:val="00E37080"/>
    <w:rsid w:val="00E37A26"/>
    <w:rsid w:val="00E37E21"/>
    <w:rsid w:val="00E45FA9"/>
    <w:rsid w:val="00E468B5"/>
    <w:rsid w:val="00E555B9"/>
    <w:rsid w:val="00E561E6"/>
    <w:rsid w:val="00E607F6"/>
    <w:rsid w:val="00E64DDC"/>
    <w:rsid w:val="00E6570D"/>
    <w:rsid w:val="00E740C5"/>
    <w:rsid w:val="00E763D3"/>
    <w:rsid w:val="00E773C7"/>
    <w:rsid w:val="00E85F31"/>
    <w:rsid w:val="00E93655"/>
    <w:rsid w:val="00E95A49"/>
    <w:rsid w:val="00E971C8"/>
    <w:rsid w:val="00E97351"/>
    <w:rsid w:val="00E974BC"/>
    <w:rsid w:val="00EA5ECD"/>
    <w:rsid w:val="00EB2D2D"/>
    <w:rsid w:val="00EB3170"/>
    <w:rsid w:val="00EB3DA8"/>
    <w:rsid w:val="00EB691B"/>
    <w:rsid w:val="00EC61EA"/>
    <w:rsid w:val="00EE571B"/>
    <w:rsid w:val="00EF1B0E"/>
    <w:rsid w:val="00EF293F"/>
    <w:rsid w:val="00EF2CF4"/>
    <w:rsid w:val="00EF2D36"/>
    <w:rsid w:val="00F05E42"/>
    <w:rsid w:val="00F0672E"/>
    <w:rsid w:val="00F1516B"/>
    <w:rsid w:val="00F20D87"/>
    <w:rsid w:val="00F2547E"/>
    <w:rsid w:val="00F26279"/>
    <w:rsid w:val="00F269B8"/>
    <w:rsid w:val="00F43A0B"/>
    <w:rsid w:val="00F46981"/>
    <w:rsid w:val="00F47A84"/>
    <w:rsid w:val="00F523BA"/>
    <w:rsid w:val="00F53A17"/>
    <w:rsid w:val="00F57621"/>
    <w:rsid w:val="00F577EA"/>
    <w:rsid w:val="00F61CA5"/>
    <w:rsid w:val="00F62989"/>
    <w:rsid w:val="00F67F48"/>
    <w:rsid w:val="00F70D98"/>
    <w:rsid w:val="00F77C4D"/>
    <w:rsid w:val="00F77FA8"/>
    <w:rsid w:val="00F8280C"/>
    <w:rsid w:val="00F8780C"/>
    <w:rsid w:val="00FA65D9"/>
    <w:rsid w:val="00FB5253"/>
    <w:rsid w:val="00FB72EE"/>
    <w:rsid w:val="00FC26F0"/>
    <w:rsid w:val="00FC2AD3"/>
    <w:rsid w:val="00FC605F"/>
    <w:rsid w:val="00FC659D"/>
    <w:rsid w:val="00FD454B"/>
    <w:rsid w:val="00FD7F92"/>
    <w:rsid w:val="00FE1112"/>
    <w:rsid w:val="00FE181E"/>
    <w:rsid w:val="00FE2229"/>
    <w:rsid w:val="00FE4C3C"/>
    <w:rsid w:val="00FF47F2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F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1D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endnote text"/>
    <w:basedOn w:val="a"/>
    <w:link w:val="a7"/>
    <w:uiPriority w:val="99"/>
    <w:unhideWhenUsed/>
    <w:rsid w:val="00BC44DC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rsid w:val="00BC44DC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BC44DC"/>
    <w:rPr>
      <w:vertAlign w:val="superscript"/>
    </w:rPr>
  </w:style>
  <w:style w:type="paragraph" w:styleId="a9">
    <w:name w:val="List Paragraph"/>
    <w:aliases w:val="Bullet 1,Use Case List Paragraph,Второй абзац списка,List Paragraph,Абзац списка11,Bullet Number,Индексы,Num Bullet 1,Заговок Марина,Table-Normal,RSHB_Table-Normal,Предусловия,Абзац маркированнный,Булит 1,асз.Списка"/>
    <w:basedOn w:val="a"/>
    <w:link w:val="aa"/>
    <w:uiPriority w:val="34"/>
    <w:qFormat/>
    <w:rsid w:val="006D40E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26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326F03"/>
    <w:rPr>
      <w:b/>
      <w:bCs/>
    </w:rPr>
  </w:style>
  <w:style w:type="character" w:styleId="ac">
    <w:name w:val="Hyperlink"/>
    <w:basedOn w:val="a0"/>
    <w:uiPriority w:val="99"/>
    <w:semiHidden/>
    <w:unhideWhenUsed/>
    <w:rsid w:val="00326F03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7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729F6"/>
  </w:style>
  <w:style w:type="paragraph" w:styleId="af">
    <w:name w:val="footer"/>
    <w:basedOn w:val="a"/>
    <w:link w:val="af0"/>
    <w:uiPriority w:val="99"/>
    <w:unhideWhenUsed/>
    <w:rsid w:val="0027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729F6"/>
  </w:style>
  <w:style w:type="character" w:customStyle="1" w:styleId="aa">
    <w:name w:val="Абзац списка Знак"/>
    <w:aliases w:val="Bullet 1 Знак,Use Case List Paragraph Знак,Второй абзац списка Знак,List Paragraph Знак,Абзац списка11 Знак,Bullet Number Знак,Индексы Знак,Num Bullet 1 Знак,Заговок Марина Знак,Table-Normal Знак,RSHB_Table-Normal Знак,Предусловия Знак"/>
    <w:link w:val="a9"/>
    <w:uiPriority w:val="34"/>
    <w:rsid w:val="003F49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F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1D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endnote text"/>
    <w:basedOn w:val="a"/>
    <w:link w:val="a7"/>
    <w:uiPriority w:val="99"/>
    <w:unhideWhenUsed/>
    <w:rsid w:val="00BC44DC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rsid w:val="00BC44DC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BC44DC"/>
    <w:rPr>
      <w:vertAlign w:val="superscript"/>
    </w:rPr>
  </w:style>
  <w:style w:type="paragraph" w:styleId="a9">
    <w:name w:val="List Paragraph"/>
    <w:aliases w:val="Bullet 1,Use Case List Paragraph,Второй абзац списка,List Paragraph,Абзац списка11,Bullet Number,Индексы,Num Bullet 1,Заговок Марина,Table-Normal,RSHB_Table-Normal,Предусловия,Абзац маркированнный,Булит 1,асз.Списка"/>
    <w:basedOn w:val="a"/>
    <w:link w:val="aa"/>
    <w:uiPriority w:val="34"/>
    <w:qFormat/>
    <w:rsid w:val="006D40E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26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326F03"/>
    <w:rPr>
      <w:b/>
      <w:bCs/>
    </w:rPr>
  </w:style>
  <w:style w:type="character" w:styleId="ac">
    <w:name w:val="Hyperlink"/>
    <w:basedOn w:val="a0"/>
    <w:uiPriority w:val="99"/>
    <w:semiHidden/>
    <w:unhideWhenUsed/>
    <w:rsid w:val="00326F03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7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729F6"/>
  </w:style>
  <w:style w:type="paragraph" w:styleId="af">
    <w:name w:val="footer"/>
    <w:basedOn w:val="a"/>
    <w:link w:val="af0"/>
    <w:uiPriority w:val="99"/>
    <w:unhideWhenUsed/>
    <w:rsid w:val="0027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729F6"/>
  </w:style>
  <w:style w:type="character" w:customStyle="1" w:styleId="aa">
    <w:name w:val="Абзац списка Знак"/>
    <w:aliases w:val="Bullet 1 Знак,Use Case List Paragraph Знак,Второй абзац списка Знак,List Paragraph Знак,Абзац списка11 Знак,Bullet Number Знак,Индексы Знак,Num Bullet 1 Знак,Заговок Марина Знак,Table-Normal Знак,RSHB_Table-Normal Знак,Предусловия Знак"/>
    <w:link w:val="a9"/>
    <w:uiPriority w:val="34"/>
    <w:rsid w:val="003F4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0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27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41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fontTable" Target="fontTable.xml"/><Relationship Id="rId50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ustomXml" Target="../customXml/item2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footer" Target="footer1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0" i="0" u="none" strike="noStrike" baseline="0">
                <a:effectLst/>
              </a:rPr>
              <a:t>Численность населения городов на 01.01.2025, </a:t>
            </a:r>
            <a:r>
              <a:rPr lang="ru-RU" sz="1100" b="0" i="1" u="none" strike="noStrike" baseline="0">
                <a:effectLst/>
              </a:rPr>
              <a:t>тыс. человек</a:t>
            </a:r>
            <a:r>
              <a:rPr lang="ru-RU" sz="110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8413162328508064E-2"/>
          <c:y val="0.17778221161268867"/>
          <c:w val="0.90089238845144359"/>
          <c:h val="0.271014603350792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214241232945E-3"/>
                  <c:y val="2.1776027996500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1354437682188574E-3"/>
                  <c:y val="1.9607328495702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Новосибирск</c:v>
                </c:pt>
                <c:pt idx="1">
                  <c:v>Екатеринбург </c:v>
                </c:pt>
                <c:pt idx="2">
                  <c:v>Казань </c:v>
                </c:pt>
                <c:pt idx="3">
                  <c:v>Краснодар</c:v>
                </c:pt>
                <c:pt idx="4">
                  <c:v>Н. Новгород</c:v>
                </c:pt>
                <c:pt idx="5">
                  <c:v>Красноярск</c:v>
                </c:pt>
                <c:pt idx="6">
                  <c:v>Уфа</c:v>
                </c:pt>
                <c:pt idx="7">
                  <c:v>Челябинск</c:v>
                </c:pt>
                <c:pt idx="8">
                  <c:v>Самара</c:v>
                </c:pt>
                <c:pt idx="9">
                  <c:v>Ростов-на-Дону</c:v>
                </c:pt>
                <c:pt idx="10">
                  <c:v>Омск</c:v>
                </c:pt>
                <c:pt idx="11">
                  <c:v>Воронеж </c:v>
                </c:pt>
                <c:pt idx="12">
                  <c:v>Пермь</c:v>
                </c:pt>
                <c:pt idx="13">
                  <c:v>Волгоград</c:v>
                </c:pt>
              </c:strCache>
            </c:strRef>
          </c:cat>
          <c:val>
            <c:numRef>
              <c:f>Лист1!$B$2:$B$15</c:f>
              <c:numCache>
                <c:formatCode>#,##0</c:formatCode>
                <c:ptCount val="14"/>
                <c:pt idx="0">
                  <c:v>1637.2</c:v>
                </c:pt>
                <c:pt idx="1">
                  <c:v>1592.4929999999999</c:v>
                </c:pt>
                <c:pt idx="2">
                  <c:v>1329.825</c:v>
                </c:pt>
                <c:pt idx="3">
                  <c:v>1262.7249999999999</c:v>
                </c:pt>
                <c:pt idx="4">
                  <c:v>1222.172</c:v>
                </c:pt>
                <c:pt idx="5">
                  <c:v>1212.5809999999999</c:v>
                </c:pt>
                <c:pt idx="6">
                  <c:v>1190.2539999999999</c:v>
                </c:pt>
                <c:pt idx="7">
                  <c:v>1176.77</c:v>
                </c:pt>
                <c:pt idx="8">
                  <c:v>1154.3219999999999</c:v>
                </c:pt>
                <c:pt idx="9">
                  <c:v>1143.123</c:v>
                </c:pt>
                <c:pt idx="10">
                  <c:v>1101.367</c:v>
                </c:pt>
                <c:pt idx="11">
                  <c:v>1041.722</c:v>
                </c:pt>
                <c:pt idx="12">
                  <c:v>1027.521</c:v>
                </c:pt>
                <c:pt idx="13">
                  <c:v>1012.2190000000001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299411456"/>
        <c:axId val="289314432"/>
      </c:barChart>
      <c:catAx>
        <c:axId val="2994114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89314432"/>
        <c:crosses val="autoZero"/>
        <c:auto val="1"/>
        <c:lblAlgn val="ctr"/>
        <c:lblOffset val="100"/>
        <c:noMultiLvlLbl val="0"/>
      </c:catAx>
      <c:valAx>
        <c:axId val="289314432"/>
        <c:scaling>
          <c:orientation val="minMax"/>
          <c:max val="1700"/>
          <c:min val="500"/>
        </c:scaling>
        <c:delete val="1"/>
        <c:axPos val="l"/>
        <c:numFmt formatCode="#,##0" sourceLinked="0"/>
        <c:majorTickMark val="out"/>
        <c:minorTickMark val="none"/>
        <c:tickLblPos val="nextTo"/>
        <c:crossAx val="299411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прибывших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5376811594202897"/>
          <c:y val="2.985037126769410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1508311461067368"/>
          <c:w val="0.83605317813534175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Число прибывших,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2.46764154480689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47 915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47 079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42 205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1200</c:v>
                </c:pt>
                <c:pt idx="1">
                  <c:v>1150</c:v>
                </c:pt>
                <c:pt idx="2">
                  <c:v>940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99412992"/>
        <c:axId val="306593088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2300</c:v>
                </c:pt>
                <c:pt idx="1">
                  <c:v>2300</c:v>
                </c:pt>
                <c:pt idx="2">
                  <c:v>2100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8805504"/>
        <c:axId val="306608896"/>
      </c:lineChart>
      <c:catAx>
        <c:axId val="29941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306593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6593088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99412992"/>
        <c:crosses val="autoZero"/>
        <c:crossBetween val="between"/>
      </c:valAx>
      <c:catAx>
        <c:axId val="438805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06608896"/>
        <c:crosses val="autoZero"/>
        <c:auto val="1"/>
        <c:lblAlgn val="ctr"/>
        <c:lblOffset val="100"/>
        <c:noMultiLvlLbl val="0"/>
      </c:catAx>
      <c:valAx>
        <c:axId val="306608896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38805504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Число выбывших на 1000 человек в 2024 году, </a:t>
            </a:r>
            <a:r>
              <a:rPr lang="ru-RU" sz="105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чел.</a:t>
            </a: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4110297977458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8756059904276672E-2"/>
          <c:y val="7.0299833210503856E-2"/>
          <c:w val="0.95002573232975962"/>
          <c:h val="0.49606092341905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7069631002007103E-3"/>
                  <c:y val="1.5228026699708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Омск</c:v>
                </c:pt>
                <c:pt idx="1">
                  <c:v>Н. Новгород</c:v>
                </c:pt>
                <c:pt idx="2">
                  <c:v>Самара</c:v>
                </c:pt>
                <c:pt idx="3">
                  <c:v>Пермь</c:v>
                </c:pt>
                <c:pt idx="4">
                  <c:v>Казань </c:v>
                </c:pt>
                <c:pt idx="5">
                  <c:v>Воронеж </c:v>
                </c:pt>
                <c:pt idx="6">
                  <c:v>Челябинск</c:v>
                </c:pt>
                <c:pt idx="7">
                  <c:v>Новосибирск</c:v>
                </c:pt>
                <c:pt idx="8">
                  <c:v>Екатеринбург </c:v>
                </c:pt>
                <c:pt idx="9">
                  <c:v>Волгоград</c:v>
                </c:pt>
                <c:pt idx="10">
                  <c:v>Краснодар</c:v>
                </c:pt>
                <c:pt idx="11">
                  <c:v>Уфа</c:v>
                </c:pt>
                <c:pt idx="12">
                  <c:v>Красноярск</c:v>
                </c:pt>
              </c:strCache>
            </c:strRef>
          </c:cat>
          <c:val>
            <c:numRef>
              <c:f>Лист1!$B$2:$B$14</c:f>
              <c:numCache>
                <c:formatCode>#,##0.0</c:formatCode>
                <c:ptCount val="13"/>
                <c:pt idx="0">
                  <c:v>13.3</c:v>
                </c:pt>
                <c:pt idx="1">
                  <c:v>13.3</c:v>
                </c:pt>
                <c:pt idx="2">
                  <c:v>15.2</c:v>
                </c:pt>
                <c:pt idx="3">
                  <c:v>15.4</c:v>
                </c:pt>
                <c:pt idx="4">
                  <c:v>16.100000000000001</c:v>
                </c:pt>
                <c:pt idx="5">
                  <c:v>17</c:v>
                </c:pt>
                <c:pt idx="6">
                  <c:v>17.600000000000001</c:v>
                </c:pt>
                <c:pt idx="7">
                  <c:v>18.100000000000001</c:v>
                </c:pt>
                <c:pt idx="8">
                  <c:v>18.2</c:v>
                </c:pt>
                <c:pt idx="9">
                  <c:v>19.100000000000001</c:v>
                </c:pt>
                <c:pt idx="10">
                  <c:v>22</c:v>
                </c:pt>
                <c:pt idx="11">
                  <c:v>25.6</c:v>
                </c:pt>
                <c:pt idx="12">
                  <c:v>28.4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221363712"/>
        <c:axId val="413870912"/>
      </c:barChart>
      <c:catAx>
        <c:axId val="2213637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3870912"/>
        <c:crosses val="autoZero"/>
        <c:auto val="1"/>
        <c:lblAlgn val="ctr"/>
        <c:lblOffset val="100"/>
        <c:noMultiLvlLbl val="0"/>
      </c:catAx>
      <c:valAx>
        <c:axId val="413870912"/>
        <c:scaling>
          <c:orientation val="minMax"/>
          <c:max val="30"/>
          <c:min val="0"/>
        </c:scaling>
        <c:delete val="1"/>
        <c:axPos val="l"/>
        <c:title>
          <c:tx>
            <c:rich>
              <a:bodyPr rot="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 sz="20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200" b="0" i="1" baseline="0">
                    <a:effectLst/>
                  </a:rPr>
                  <a:t>.</a:t>
                </a:r>
                <a:endParaRPr lang="ru-RU" sz="200">
                  <a:effectLst/>
                </a:endParaRPr>
              </a:p>
            </c:rich>
          </c:tx>
          <c:layout>
            <c:manualLayout>
              <c:xMode val="edge"/>
              <c:yMode val="edge"/>
              <c:x val="2.3529411764705882E-2"/>
              <c:y val="4.5333444095674927E-3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221363712"/>
        <c:crosses val="autoZero"/>
        <c:crossBetween val="between"/>
        <c:majorUnit val="3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выбывших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4507246376811595"/>
          <c:y val="1.115033034663770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1508311461067368"/>
          <c:w val="0.83605317813534175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Число выбывших,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2.46764154480689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41 622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37 754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34 286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1200</c:v>
                </c:pt>
                <c:pt idx="1">
                  <c:v>1000</c:v>
                </c:pt>
                <c:pt idx="2">
                  <c:v>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438806016"/>
        <c:axId val="413872640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8513522766176072E-2"/>
                  <c:y val="-5.10263372250882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1800</c:v>
                </c:pt>
                <c:pt idx="1">
                  <c:v>1800</c:v>
                </c:pt>
                <c:pt idx="2">
                  <c:v>1800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8807552"/>
        <c:axId val="413873216"/>
      </c:lineChart>
      <c:catAx>
        <c:axId val="43880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13872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3872640"/>
        <c:scaling>
          <c:orientation val="minMax"/>
          <c:max val="2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38806016"/>
        <c:crosses val="autoZero"/>
        <c:crossBetween val="between"/>
      </c:valAx>
      <c:catAx>
        <c:axId val="438807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13873216"/>
        <c:crosses val="autoZero"/>
        <c:auto val="1"/>
        <c:lblAlgn val="ctr"/>
        <c:lblOffset val="100"/>
        <c:noMultiLvlLbl val="0"/>
      </c:catAx>
      <c:valAx>
        <c:axId val="413873216"/>
        <c:scaling>
          <c:orientation val="minMax"/>
          <c:max val="22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/>
            </a:solidFill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38807552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spPr>
        <a:ln>
          <a:noFill/>
        </a:ln>
      </c:spPr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004672069950208E-2"/>
          <c:y val="1.1974740781164734E-3"/>
          <c:w val="0.9460573733268679"/>
          <c:h val="0.4358471190344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7"/>
            <c:invertIfNegative val="0"/>
            <c:bubble3D val="0"/>
          </c:dPt>
          <c:cat>
            <c:strRef>
              <c:f>Лист1!$A$2:$A$14</c:f>
              <c:strCache>
                <c:ptCount val="13"/>
                <c:pt idx="0">
                  <c:v>Краснодар</c:v>
                </c:pt>
                <c:pt idx="1">
                  <c:v>Казань </c:v>
                </c:pt>
                <c:pt idx="2">
                  <c:v>Екатеринбург </c:v>
                </c:pt>
                <c:pt idx="3">
                  <c:v>Красноярск</c:v>
                </c:pt>
                <c:pt idx="4">
                  <c:v>Уфа</c:v>
                </c:pt>
                <c:pt idx="5">
                  <c:v>Новосибирск</c:v>
                </c:pt>
                <c:pt idx="6">
                  <c:v>Пермь</c:v>
                </c:pt>
                <c:pt idx="7">
                  <c:v>Омск</c:v>
                </c:pt>
                <c:pt idx="8">
                  <c:v>Челябинск</c:v>
                </c:pt>
                <c:pt idx="9">
                  <c:v>Самара</c:v>
                </c:pt>
                <c:pt idx="10">
                  <c:v>Воронеж </c:v>
                </c:pt>
                <c:pt idx="11">
                  <c:v>Н. Новгород</c:v>
                </c:pt>
                <c:pt idx="12">
                  <c:v>Волгоград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13.9</c:v>
                </c:pt>
                <c:pt idx="1">
                  <c:v>8.5</c:v>
                </c:pt>
                <c:pt idx="2">
                  <c:v>8.4</c:v>
                </c:pt>
                <c:pt idx="3">
                  <c:v>6.6</c:v>
                </c:pt>
                <c:pt idx="4">
                  <c:v>4.8</c:v>
                </c:pt>
                <c:pt idx="5" formatCode="_-* #,##0.0\ _₽_-;\-* #,##0.0\ _₽_-;_-* &quot;-&quot;??\ _₽_-;_-@_-">
                  <c:v>4.8</c:v>
                </c:pt>
                <c:pt idx="6" formatCode="_-* #,##0.0\ _₽_-;\-* #,##0.0\ _₽_-;_-* &quot;-&quot;??\ _₽_-;_-@_-">
                  <c:v>4</c:v>
                </c:pt>
                <c:pt idx="7" formatCode="_-* #,##0.0\ _₽_-;\-* #,##0.0\ _₽_-;_-* &quot;-&quot;??\ _₽_-;_-@_-">
                  <c:v>2.2000000000000002</c:v>
                </c:pt>
                <c:pt idx="8" formatCode="_-* #,##0.0\ _₽_-;\-* #,##0.0\ _₽_-;_-* &quot;-&quot;??\ _₽_-;_-@_-">
                  <c:v>1.9</c:v>
                </c:pt>
                <c:pt idx="9" formatCode="_-* #,##0.0\ _₽_-;\-* #,##0.0\ _₽_-;_-* &quot;-&quot;??\ _₽_-;_-@_-">
                  <c:v>1.4</c:v>
                </c:pt>
                <c:pt idx="10" formatCode="_-* #,##0.0\ _₽_-;\-* #,##0.0\ _₽_-;_-* &quot;-&quot;??\ _₽_-;_-@_-">
                  <c:v>0.6</c:v>
                </c:pt>
                <c:pt idx="11" formatCode="_-* #,##0.0\ _₽_-;\-* #,##0.0\ _₽_-;_-* &quot;-&quot;??\ _₽_-;_-@_-">
                  <c:v>0.4</c:v>
                </c:pt>
                <c:pt idx="12" formatCode="_-* #,##0.0\ _₽_-;\-* #,##0.0\ _₽_-;_-* &quot;-&quot;??\ _₽_-;_-@_-">
                  <c:v>-1.2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410944"/>
        <c:axId val="413874944"/>
      </c:barChart>
      <c:catAx>
        <c:axId val="29941094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3874944"/>
        <c:crosses val="autoZero"/>
        <c:auto val="1"/>
        <c:lblAlgn val="ctr"/>
        <c:lblOffset val="100"/>
        <c:noMultiLvlLbl val="0"/>
      </c:catAx>
      <c:valAx>
        <c:axId val="413874944"/>
        <c:scaling>
          <c:orientation val="minMax"/>
          <c:max val="3000"/>
          <c:min val="-6000"/>
        </c:scaling>
        <c:delete val="1"/>
        <c:axPos val="l"/>
        <c:numFmt formatCode="#,##0" sourceLinked="0"/>
        <c:majorTickMark val="out"/>
        <c:minorTickMark val="none"/>
        <c:tickLblPos val="nextTo"/>
        <c:crossAx val="299410944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Миграционный прирост на 1000 человек в 2024 году, </a:t>
            </a:r>
            <a:r>
              <a:rPr lang="ru-RU" sz="105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чел.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618141114713602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3.7517677937316654E-2"/>
          <c:y val="0.21248327829988992"/>
          <c:w val="0.94413107920333483"/>
          <c:h val="0.641397849462365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3.1877179736094631E-3"/>
                </c:manualLayout>
              </c:layout>
              <c:numFmt formatCode="0.0" sourceLinked="0"/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sz="1000" b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3"/>
                <c:pt idx="0">
                  <c:v>Краснодар</c:v>
                </c:pt>
                <c:pt idx="1">
                  <c:v>Екатеринбург </c:v>
                </c:pt>
                <c:pt idx="2">
                  <c:v>Казань </c:v>
                </c:pt>
                <c:pt idx="3">
                  <c:v>Красноярск</c:v>
                </c:pt>
                <c:pt idx="4">
                  <c:v>Новосибирск</c:v>
                </c:pt>
                <c:pt idx="5">
                  <c:v>Уфа</c:v>
                </c:pt>
                <c:pt idx="6">
                  <c:v>Пермь</c:v>
                </c:pt>
                <c:pt idx="7">
                  <c:v>Омск</c:v>
                </c:pt>
                <c:pt idx="8">
                  <c:v>Челябинск</c:v>
                </c:pt>
                <c:pt idx="9">
                  <c:v>Самара</c:v>
                </c:pt>
                <c:pt idx="10">
                  <c:v>Воронеж </c:v>
                </c:pt>
                <c:pt idx="11">
                  <c:v>Н. Новгород</c:v>
                </c:pt>
                <c:pt idx="12">
                  <c:v>Волгоград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13.9</c:v>
                </c:pt>
                <c:pt idx="1">
                  <c:v>8.5</c:v>
                </c:pt>
                <c:pt idx="2">
                  <c:v>8.4</c:v>
                </c:pt>
                <c:pt idx="3">
                  <c:v>6.6</c:v>
                </c:pt>
                <c:pt idx="4">
                  <c:v>4.8</c:v>
                </c:pt>
                <c:pt idx="5">
                  <c:v>4.8</c:v>
                </c:pt>
                <c:pt idx="6">
                  <c:v>4</c:v>
                </c:pt>
                <c:pt idx="7">
                  <c:v>2.2000000000000002</c:v>
                </c:pt>
                <c:pt idx="8">
                  <c:v>1.9</c:v>
                </c:pt>
                <c:pt idx="9">
                  <c:v>1.4</c:v>
                </c:pt>
                <c:pt idx="10">
                  <c:v>0.6</c:v>
                </c:pt>
                <c:pt idx="11">
                  <c:v>0.4</c:v>
                </c:pt>
                <c:pt idx="12">
                  <c:v>-1.2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299245568"/>
        <c:axId val="424444480"/>
      </c:barChart>
      <c:catAx>
        <c:axId val="299245568"/>
        <c:scaling>
          <c:orientation val="minMax"/>
        </c:scaling>
        <c:delete val="0"/>
        <c:axPos val="b"/>
        <c:majorTickMark val="out"/>
        <c:minorTickMark val="none"/>
        <c:tickLblPos val="none"/>
        <c:crossAx val="424444480"/>
        <c:crosses val="autoZero"/>
        <c:auto val="1"/>
        <c:lblAlgn val="ctr"/>
        <c:lblOffset val="100"/>
        <c:noMultiLvlLbl val="0"/>
      </c:catAx>
      <c:valAx>
        <c:axId val="424444480"/>
        <c:scaling>
          <c:orientation val="minMax"/>
          <c:max val="18"/>
          <c:min val="-2"/>
        </c:scaling>
        <c:delete val="1"/>
        <c:axPos val="l"/>
        <c:numFmt formatCode="#,##0" sourceLinked="0"/>
        <c:majorTickMark val="out"/>
        <c:minorTickMark val="none"/>
        <c:tickLblPos val="nextTo"/>
        <c:crossAx val="299245568"/>
        <c:crosses val="autoZero"/>
        <c:crossBetween val="between"/>
        <c:majorUnit val="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миграционного прироста населения </a:t>
            </a:r>
          </a:p>
          <a:p>
            <a:pPr>
              <a:defRPr sz="1050"/>
            </a:pP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1028985507246375"/>
          <c:y val="1.1151176196433389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6492751490175878"/>
          <c:w val="0.83605317813534175"/>
          <c:h val="0.5409870728775725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Миграционный прирост,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2.46764154480689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6 293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7971014492754153E-3"/>
                  <c:y val="3.07881374641253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9 325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7 919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940</c:v>
                </c:pt>
                <c:pt idx="1">
                  <c:v>1800</c:v>
                </c:pt>
                <c:pt idx="2">
                  <c:v>1150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20279296"/>
        <c:axId val="42444678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2100</c:v>
                </c:pt>
                <c:pt idx="1">
                  <c:v>2300</c:v>
                </c:pt>
                <c:pt idx="2">
                  <c:v>1900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9248128"/>
        <c:axId val="424447360"/>
      </c:lineChart>
      <c:catAx>
        <c:axId val="22027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24446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4446784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20279296"/>
        <c:crosses val="autoZero"/>
        <c:crossBetween val="between"/>
      </c:valAx>
      <c:catAx>
        <c:axId val="2992481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24447360"/>
        <c:crosses val="autoZero"/>
        <c:auto val="1"/>
        <c:lblAlgn val="ctr"/>
        <c:lblOffset val="100"/>
        <c:noMultiLvlLbl val="0"/>
      </c:catAx>
      <c:valAx>
        <c:axId val="424447360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99248128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spPr>
        <a:ln>
          <a:noFill/>
        </a:ln>
      </c:spPr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Среднесписочная численность работников</a:t>
            </a:r>
            <a:r>
              <a:rPr lang="ru-RU" sz="1050" b="0" i="0" u="none" strike="noStrike" baseline="0">
                <a:effectLst/>
              </a:rPr>
              <a:t>на на 1000 человек </a:t>
            </a: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b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за январь-сентябрь 2025 года,</a:t>
            </a:r>
            <a:r>
              <a:rPr lang="ru-RU" sz="105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 чел.</a:t>
            </a:r>
            <a:endParaRPr lang="ru-RU" sz="1050" i="1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  </a:t>
            </a:r>
          </a:p>
        </c:rich>
      </c:tx>
      <c:layout>
        <c:manualLayout>
          <c:xMode val="edge"/>
          <c:yMode val="edge"/>
          <c:x val="0.23053913849004168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13796850393700788"/>
          <c:w val="0.93432721200366664"/>
          <c:h val="0.45776076601535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928919429334603E-17"/>
                  <c:y val="2.1047534536212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Н. Новгород</c:v>
                </c:pt>
                <c:pt idx="1">
                  <c:v>Екатеринбург </c:v>
                </c:pt>
                <c:pt idx="2">
                  <c:v>Самара</c:v>
                </c:pt>
                <c:pt idx="3">
                  <c:v>Челябинск</c:v>
                </c:pt>
                <c:pt idx="4">
                  <c:v>Пермь</c:v>
                </c:pt>
                <c:pt idx="5">
                  <c:v>Казань </c:v>
                </c:pt>
                <c:pt idx="6">
                  <c:v>Воронеж </c:v>
                </c:pt>
                <c:pt idx="7">
                  <c:v>Омск</c:v>
                </c:pt>
                <c:pt idx="8">
                  <c:v>Уфа</c:v>
                </c:pt>
                <c:pt idx="9">
                  <c:v>Краснодар</c:v>
                </c:pt>
                <c:pt idx="10">
                  <c:v>Ростов-на-Дону</c:v>
                </c:pt>
                <c:pt idx="11">
                  <c:v>Новосибирск</c:v>
                </c:pt>
                <c:pt idx="12">
                  <c:v>Красноярск</c:v>
                </c:pt>
                <c:pt idx="13">
                  <c:v>Волгоград</c:v>
                </c:pt>
              </c:strCache>
            </c:strRef>
          </c:cat>
          <c:val>
            <c:numRef>
              <c:f>Лист1!$B$2:$B$15</c:f>
              <c:numCache>
                <c:formatCode>#,##0.00</c:formatCode>
                <c:ptCount val="14"/>
                <c:pt idx="0">
                  <c:v>327.10000000000002</c:v>
                </c:pt>
                <c:pt idx="1">
                  <c:v>298.70999999999998</c:v>
                </c:pt>
                <c:pt idx="2">
                  <c:v>287.52999999999997</c:v>
                </c:pt>
                <c:pt idx="3">
                  <c:v>281.95999999999998</c:v>
                </c:pt>
                <c:pt idx="4">
                  <c:v>272.11</c:v>
                </c:pt>
                <c:pt idx="5">
                  <c:v>260.26</c:v>
                </c:pt>
                <c:pt idx="6">
                  <c:v>253.71</c:v>
                </c:pt>
                <c:pt idx="7">
                  <c:v>251.87</c:v>
                </c:pt>
                <c:pt idx="8">
                  <c:v>251.71</c:v>
                </c:pt>
                <c:pt idx="9">
                  <c:v>251.04</c:v>
                </c:pt>
                <c:pt idx="10">
                  <c:v>248.88</c:v>
                </c:pt>
                <c:pt idx="11">
                  <c:v>245.5</c:v>
                </c:pt>
                <c:pt idx="12">
                  <c:v>238.33</c:v>
                </c:pt>
                <c:pt idx="13">
                  <c:v>223.37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299248640"/>
        <c:axId val="424450240"/>
      </c:barChart>
      <c:catAx>
        <c:axId val="2992486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4450240"/>
        <c:crosses val="autoZero"/>
        <c:auto val="1"/>
        <c:lblAlgn val="ctr"/>
        <c:lblOffset val="100"/>
        <c:noMultiLvlLbl val="0"/>
      </c:catAx>
      <c:valAx>
        <c:axId val="424450240"/>
        <c:scaling>
          <c:orientation val="minMax"/>
          <c:max val="350"/>
          <c:min val="100"/>
        </c:scaling>
        <c:delete val="1"/>
        <c:axPos val="l"/>
        <c:numFmt formatCode="#,##0" sourceLinked="0"/>
        <c:majorTickMark val="out"/>
        <c:minorTickMark val="none"/>
        <c:tickLblPos val="nextTo"/>
        <c:crossAx val="299248640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среднесписочной численности работников </a:t>
            </a:r>
            <a:br>
              <a:rPr lang="ru-RU" sz="1050" b="0" i="0" baseline="0">
                <a:effectLst/>
              </a:rPr>
            </a:b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494202898550724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7.9375831445726838E-2"/>
          <c:w val="0.83605317813534175"/>
          <c:h val="0.6265381895756181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Среднесписочная численность работников, тыс.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278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279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780</c:v>
                </c:pt>
                <c:pt idx="1">
                  <c:v>800</c:v>
                </c:pt>
                <c:pt idx="2">
                  <c:v>1000</c:v>
                </c:pt>
                <c:pt idx="3">
                  <c:v>1212.5999999999999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20280320"/>
        <c:axId val="424450816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1700</c:v>
                </c:pt>
                <c:pt idx="2">
                  <c:v>1700</c:v>
                </c:pt>
                <c:pt idx="3">
                  <c:v>1700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8806528"/>
        <c:axId val="424451392"/>
      </c:lineChart>
      <c:catAx>
        <c:axId val="22028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24450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4450816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20280320"/>
        <c:crosses val="autoZero"/>
        <c:crossBetween val="between"/>
      </c:valAx>
      <c:catAx>
        <c:axId val="438806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24451392"/>
        <c:crosses val="autoZero"/>
        <c:auto val="1"/>
        <c:lblAlgn val="ctr"/>
        <c:lblOffset val="100"/>
        <c:noMultiLvlLbl val="0"/>
      </c:catAx>
      <c:valAx>
        <c:axId val="424451392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38806528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5.8044733538742441E-2"/>
          <c:y val="0.8476779443665432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Численность безработных граждан </a:t>
            </a:r>
            <a:r>
              <a:rPr lang="ru-RU" sz="1050" b="0" i="0" u="none" strike="noStrike" baseline="0">
                <a:effectLst/>
              </a:rPr>
              <a:t>на 1000 человек </a:t>
            </a: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на 01.10.2025, </a:t>
            </a:r>
            <a:r>
              <a:rPr lang="ru-RU" sz="105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тыс. чел.</a:t>
            </a:r>
          </a:p>
        </c:rich>
      </c:tx>
      <c:layout>
        <c:manualLayout>
          <c:xMode val="edge"/>
          <c:yMode val="edge"/>
          <c:x val="0.1784852555195306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483456277497707E-2"/>
          <c:y val="0.14234383202099737"/>
          <c:w val="0.95002573232975962"/>
          <c:h val="0.434465091863517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2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9228037671760179E-3"/>
                  <c:y val="1.7918654328792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1.2028277487211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Н. Новгород</c:v>
                </c:pt>
                <c:pt idx="1">
                  <c:v>Волгоград</c:v>
                </c:pt>
                <c:pt idx="2">
                  <c:v>Пермь</c:v>
                </c:pt>
                <c:pt idx="3">
                  <c:v>Краснодар</c:v>
                </c:pt>
                <c:pt idx="4">
                  <c:v>Ростов-на-Дону</c:v>
                </c:pt>
                <c:pt idx="5">
                  <c:v>Казань </c:v>
                </c:pt>
                <c:pt idx="6">
                  <c:v>Екатеринбург </c:v>
                </c:pt>
                <c:pt idx="7">
                  <c:v>Самара</c:v>
                </c:pt>
                <c:pt idx="8">
                  <c:v>Челябинск</c:v>
                </c:pt>
                <c:pt idx="9">
                  <c:v>Омск</c:v>
                </c:pt>
                <c:pt idx="10">
                  <c:v>Новосибирск</c:v>
                </c:pt>
                <c:pt idx="11">
                  <c:v>Красноярск</c:v>
                </c:pt>
                <c:pt idx="12">
                  <c:v>Уфа</c:v>
                </c:pt>
                <c:pt idx="13">
                  <c:v>Воронеж </c:v>
                </c:pt>
              </c:strCache>
            </c:strRef>
          </c:cat>
          <c:val>
            <c:numRef>
              <c:f>Лист1!$B$2:$B$15</c:f>
              <c:numCache>
                <c:formatCode>#,##0.00</c:formatCode>
                <c:ptCount val="14"/>
                <c:pt idx="0">
                  <c:v>0.06</c:v>
                </c:pt>
                <c:pt idx="1">
                  <c:v>0.52</c:v>
                </c:pt>
                <c:pt idx="2">
                  <c:v>0.67</c:v>
                </c:pt>
                <c:pt idx="3">
                  <c:v>0.78</c:v>
                </c:pt>
                <c:pt idx="4">
                  <c:v>0.88</c:v>
                </c:pt>
                <c:pt idx="5" formatCode="#,##0.0">
                  <c:v>0.92</c:v>
                </c:pt>
                <c:pt idx="6" formatCode="#,##0.0">
                  <c:v>1.02</c:v>
                </c:pt>
                <c:pt idx="7">
                  <c:v>1.22</c:v>
                </c:pt>
                <c:pt idx="8">
                  <c:v>1.26</c:v>
                </c:pt>
                <c:pt idx="9">
                  <c:v>1.31</c:v>
                </c:pt>
                <c:pt idx="10">
                  <c:v>1.5</c:v>
                </c:pt>
                <c:pt idx="11">
                  <c:v>1.95</c:v>
                </c:pt>
                <c:pt idx="12">
                  <c:v>2.2799999999999998</c:v>
                </c:pt>
                <c:pt idx="13">
                  <c:v>2.48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299247104"/>
        <c:axId val="424462016"/>
      </c:barChart>
      <c:catAx>
        <c:axId val="2992471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4462016"/>
        <c:crosses val="autoZero"/>
        <c:auto val="1"/>
        <c:lblAlgn val="ctr"/>
        <c:lblOffset val="100"/>
        <c:noMultiLvlLbl val="0"/>
      </c:catAx>
      <c:valAx>
        <c:axId val="424462016"/>
        <c:scaling>
          <c:orientation val="minMax"/>
          <c:max val="3"/>
          <c:min val="0"/>
        </c:scaling>
        <c:delete val="1"/>
        <c:axPos val="l"/>
        <c:title>
          <c:tx>
            <c:rich>
              <a:bodyPr rot="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200" b="0" i="1" baseline="0">
                    <a:effectLst/>
                  </a:rPr>
                  <a:t>.</a:t>
                </a:r>
                <a:endParaRPr lang="ru-RU" sz="200">
                  <a:effectLst/>
                </a:endParaRPr>
              </a:p>
            </c:rich>
          </c:tx>
          <c:layout>
            <c:manualLayout>
              <c:xMode val="edge"/>
              <c:yMode val="edge"/>
              <c:x val="2.3529411764705882E-2"/>
              <c:y val="4.5333444095674927E-3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299247104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численности безработных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5231884057971015"/>
          <c:y val="1.826484018264840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4.8934431141312809E-2"/>
          <c:w val="0.83605317813534175"/>
          <c:h val="0.6569795898800321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Численность безработных,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3 234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2 799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2 504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2 365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1500</c:v>
                </c:pt>
                <c:pt idx="1">
                  <c:v>1000</c:v>
                </c:pt>
                <c:pt idx="2">
                  <c:v>900</c:v>
                </c:pt>
                <c:pt idx="3">
                  <c:v>800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20280832"/>
        <c:axId val="42446374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83768115942029E-2"/>
                  <c:y val="-5.93607305936073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8513522766175864E-2"/>
                  <c:y val="-6.826735699133498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8376811594203011E-2"/>
                  <c:y val="-6.54490106544901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2000</c:v>
                </c:pt>
                <c:pt idx="2">
                  <c:v>1700</c:v>
                </c:pt>
                <c:pt idx="3">
                  <c:v>2000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8753408"/>
        <c:axId val="424464320"/>
      </c:lineChart>
      <c:catAx>
        <c:axId val="22028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24463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4463744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20280832"/>
        <c:crosses val="autoZero"/>
        <c:crossBetween val="between"/>
      </c:valAx>
      <c:catAx>
        <c:axId val="3087534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24464320"/>
        <c:crosses val="autoZero"/>
        <c:auto val="1"/>
        <c:lblAlgn val="ctr"/>
        <c:lblOffset val="100"/>
        <c:noMultiLvlLbl val="0"/>
      </c:catAx>
      <c:valAx>
        <c:axId val="424464320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753408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5.8044733538742441E-2"/>
          <c:y val="0.8476779443665432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/>
            </a:pPr>
            <a:r>
              <a:rPr lang="ru-RU" sz="1050" b="0" i="0" u="none" strike="noStrike" baseline="0">
                <a:effectLst/>
              </a:rPr>
              <a:t>Динамика численности населения в городе Красноярске</a:t>
            </a:r>
            <a:endParaRPr lang="ru-RU" sz="1050" b="0">
              <a:effectLst/>
            </a:endParaRPr>
          </a:p>
        </c:rich>
      </c:tx>
      <c:layout>
        <c:manualLayout>
          <c:xMode val="edge"/>
          <c:yMode val="edge"/>
          <c:x val="0.13492753623188403"/>
          <c:y val="2.985074626865671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5.5022864409989991E-2"/>
          <c:w val="0.83605317813534175"/>
          <c:h val="0.6508912159175979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Численность населения на начало года, тыс.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1103.8</c:v>
                </c:pt>
                <c:pt idx="1">
                  <c:v>1197.7</c:v>
                </c:pt>
                <c:pt idx="2">
                  <c:v>1206.2</c:v>
                </c:pt>
                <c:pt idx="3">
                  <c:v>1212.5999999999999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20270080"/>
        <c:axId val="289316160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Лист5!$A$5:$A$8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1500</c:v>
                </c:pt>
                <c:pt idx="1">
                  <c:v>2100</c:v>
                </c:pt>
                <c:pt idx="2">
                  <c:v>2100</c:v>
                </c:pt>
                <c:pt idx="3">
                  <c:v>2100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4009984"/>
        <c:axId val="289333248"/>
      </c:lineChart>
      <c:catAx>
        <c:axId val="22027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89316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9316160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20270080"/>
        <c:crosses val="autoZero"/>
        <c:crossBetween val="between"/>
      </c:valAx>
      <c:catAx>
        <c:axId val="284009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9333248"/>
        <c:crosses val="autoZero"/>
        <c:auto val="1"/>
        <c:lblAlgn val="ctr"/>
        <c:lblOffset val="100"/>
        <c:noMultiLvlLbl val="0"/>
      </c:catAx>
      <c:valAx>
        <c:axId val="289333248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84009984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6597120282E-2"/>
          <c:y val="0.81723662982494161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Среднемесячная начисленная заработная плата работников организаций </a:t>
            </a:r>
            <a:b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январь-сентябрь 2025 года, </a:t>
            </a:r>
            <a:r>
              <a:rPr lang="ru-RU" sz="105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тыс. руб.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78236838042303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3308784931295351E-2"/>
          <c:y val="0.23306926735680886"/>
          <c:w val="0.93432721200366664"/>
          <c:h val="0.373091428087618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4576331428216E-4"/>
                  <c:y val="5.0223154697520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6.01235869138404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Екатеринбург </c:v>
                </c:pt>
                <c:pt idx="1">
                  <c:v>Казань </c:v>
                </c:pt>
                <c:pt idx="2">
                  <c:v>Красноярск</c:v>
                </c:pt>
                <c:pt idx="3">
                  <c:v>Новосибирск</c:v>
                </c:pt>
                <c:pt idx="4">
                  <c:v>Н. Новгород</c:v>
                </c:pt>
                <c:pt idx="5">
                  <c:v>Краснодар</c:v>
                </c:pt>
                <c:pt idx="6">
                  <c:v>Пермь</c:v>
                </c:pt>
                <c:pt idx="7">
                  <c:v>Челябинск</c:v>
                </c:pt>
                <c:pt idx="8">
                  <c:v>Уфа</c:v>
                </c:pt>
                <c:pt idx="9">
                  <c:v>Ростов-на-Дону</c:v>
                </c:pt>
                <c:pt idx="10">
                  <c:v>Самара</c:v>
                </c:pt>
                <c:pt idx="11">
                  <c:v>Воронеж </c:v>
                </c:pt>
                <c:pt idx="12">
                  <c:v>Омск</c:v>
                </c:pt>
                <c:pt idx="13">
                  <c:v>Волгоград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112.535</c:v>
                </c:pt>
                <c:pt idx="1">
                  <c:v>105.81399999999999</c:v>
                </c:pt>
                <c:pt idx="2">
                  <c:v>104.798</c:v>
                </c:pt>
                <c:pt idx="3">
                  <c:v>101.69499999999999</c:v>
                </c:pt>
                <c:pt idx="4">
                  <c:v>99.298000000000002</c:v>
                </c:pt>
                <c:pt idx="5">
                  <c:v>95.248999999999995</c:v>
                </c:pt>
                <c:pt idx="6">
                  <c:v>95.183000000000007</c:v>
                </c:pt>
                <c:pt idx="7">
                  <c:v>92.63</c:v>
                </c:pt>
                <c:pt idx="8">
                  <c:v>91.771000000000001</c:v>
                </c:pt>
                <c:pt idx="9">
                  <c:v>91.454999999999998</c:v>
                </c:pt>
                <c:pt idx="10">
                  <c:v>87.769000000000005</c:v>
                </c:pt>
                <c:pt idx="11">
                  <c:v>85.135000000000005</c:v>
                </c:pt>
                <c:pt idx="12">
                  <c:v>83.99</c:v>
                </c:pt>
                <c:pt idx="13">
                  <c:v>75.167000000000002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8754432"/>
        <c:axId val="424466048"/>
      </c:barChart>
      <c:catAx>
        <c:axId val="3087544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4466048"/>
        <c:crosses val="autoZero"/>
        <c:auto val="1"/>
        <c:lblAlgn val="ctr"/>
        <c:lblOffset val="100"/>
        <c:noMultiLvlLbl val="0"/>
      </c:catAx>
      <c:valAx>
        <c:axId val="424466048"/>
        <c:scaling>
          <c:orientation val="minMax"/>
          <c:max val="120"/>
          <c:min val="50"/>
        </c:scaling>
        <c:delete val="1"/>
        <c:axPos val="l"/>
        <c:numFmt formatCode="#,##0" sourceLinked="0"/>
        <c:majorTickMark val="out"/>
        <c:minorTickMark val="none"/>
        <c:tickLblPos val="nextTo"/>
        <c:crossAx val="308754432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среднемесячной начисленной заработной платы работников организаций</a:t>
            </a:r>
            <a:r>
              <a:rPr lang="ru-RU" sz="1050" b="0" i="0" baseline="0">
                <a:effectLst/>
              </a:rPr>
              <a:t>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2623188405797101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2808207193278925"/>
          <c:w val="0.83605317813534175"/>
          <c:h val="0.4856910569105691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Среднемесячная начисленная заработная плата работников организаций, тыс.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73,5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83,9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98,1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104,8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900</c:v>
                </c:pt>
                <c:pt idx="2">
                  <c:v>1150</c:v>
                </c:pt>
                <c:pt idx="3">
                  <c:v>1212.5999999999999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20281344"/>
        <c:axId val="424467776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1900</c:v>
                </c:pt>
                <c:pt idx="2">
                  <c:v>1900</c:v>
                </c:pt>
                <c:pt idx="3">
                  <c:v>1800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8755968"/>
        <c:axId val="592093184"/>
      </c:lineChart>
      <c:catAx>
        <c:axId val="220281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24467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4467776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20281344"/>
        <c:crosses val="autoZero"/>
        <c:crossBetween val="between"/>
      </c:valAx>
      <c:catAx>
        <c:axId val="308755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2093184"/>
        <c:crosses val="autoZero"/>
        <c:auto val="1"/>
        <c:lblAlgn val="ctr"/>
        <c:lblOffset val="100"/>
        <c:noMultiLvlLbl val="0"/>
      </c:catAx>
      <c:valAx>
        <c:axId val="592093184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755968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73927704158931362"/>
          <c:w val="0.90748594984948916"/>
          <c:h val="0.2607229584106864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Сальдированный финансовый результат организаций </a:t>
            </a:r>
            <a:r>
              <a:rPr lang="ru-RU" sz="1050" b="0" i="0" u="none" strike="noStrike" baseline="0">
                <a:effectLst/>
              </a:rPr>
              <a:t>на 1000 человек  </a:t>
            </a:r>
            <a:br>
              <a:rPr lang="ru-RU" sz="1050" b="0" i="0" u="none" strike="noStrike" baseline="0">
                <a:effectLst/>
              </a:rPr>
            </a:br>
            <a:r>
              <a:rPr lang="ru-RU" sz="1050" b="0" i="0" u="none" strike="noStrike" baseline="0">
                <a:effectLst/>
              </a:rPr>
              <a:t>за январь-сентябрь 2025 года, </a:t>
            </a:r>
            <a:r>
              <a:rPr lang="ru-RU" sz="1050" b="0" i="1" u="none" strike="noStrike" baseline="0">
                <a:effectLst/>
              </a:rPr>
              <a:t>млн руб.</a:t>
            </a:r>
            <a:endParaRPr lang="ru-RU" sz="1050" b="0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598533271576348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907719623282384E-2"/>
          <c:y val="9.687238815818415E-2"/>
          <c:w val="0.93432721200366664"/>
          <c:h val="0.47666446722092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543924656476764E-7"/>
                  <c:y val="1.9561154855643043E-2"/>
                </c:manualLayout>
              </c:layout>
              <c:numFmt formatCode="#,##0.0" sourceLinked="0"/>
              <c:spPr>
                <a:noFill/>
              </c:spPr>
              <c:txPr>
                <a:bodyPr/>
                <a:lstStyle/>
                <a:p>
                  <a:pPr>
                    <a:defRPr sz="1000" b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Красноярск</c:v>
                </c:pt>
                <c:pt idx="1">
                  <c:v>Екатеринбург </c:v>
                </c:pt>
                <c:pt idx="2">
                  <c:v>Пермь</c:v>
                </c:pt>
                <c:pt idx="3">
                  <c:v>Самара</c:v>
                </c:pt>
                <c:pt idx="4">
                  <c:v>Уфа</c:v>
                </c:pt>
                <c:pt idx="5">
                  <c:v>Новосибирск</c:v>
                </c:pt>
                <c:pt idx="6">
                  <c:v>Краснодар</c:v>
                </c:pt>
                <c:pt idx="7">
                  <c:v>Челябинск</c:v>
                </c:pt>
                <c:pt idx="8">
                  <c:v>Воронеж </c:v>
                </c:pt>
                <c:pt idx="9">
                  <c:v>Омск</c:v>
                </c:pt>
                <c:pt idx="10">
                  <c:v>Волгоград</c:v>
                </c:pt>
                <c:pt idx="11">
                  <c:v>Казань </c:v>
                </c:pt>
                <c:pt idx="12">
                  <c:v>Н. Новгород</c:v>
                </c:pt>
                <c:pt idx="13">
                  <c:v>Ростов-на-Дону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267.5</c:v>
                </c:pt>
                <c:pt idx="1">
                  <c:v>139.9</c:v>
                </c:pt>
                <c:pt idx="2">
                  <c:v>107.8</c:v>
                </c:pt>
                <c:pt idx="3">
                  <c:v>101.7</c:v>
                </c:pt>
                <c:pt idx="4">
                  <c:v>81.3</c:v>
                </c:pt>
                <c:pt idx="5">
                  <c:v>64.5</c:v>
                </c:pt>
                <c:pt idx="6">
                  <c:v>59.2</c:v>
                </c:pt>
                <c:pt idx="7">
                  <c:v>51.4</c:v>
                </c:pt>
                <c:pt idx="8">
                  <c:v>49.2</c:v>
                </c:pt>
                <c:pt idx="9">
                  <c:v>49.1</c:v>
                </c:pt>
                <c:pt idx="10">
                  <c:v>43.1</c:v>
                </c:pt>
                <c:pt idx="11">
                  <c:v>40.4</c:v>
                </c:pt>
                <c:pt idx="12">
                  <c:v>37</c:v>
                </c:pt>
                <c:pt idx="13">
                  <c:v>23.6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308753920"/>
        <c:axId val="592094912"/>
      </c:barChart>
      <c:catAx>
        <c:axId val="3087539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92094912"/>
        <c:crosses val="autoZero"/>
        <c:auto val="1"/>
        <c:lblAlgn val="ctr"/>
        <c:lblOffset val="100"/>
        <c:noMultiLvlLbl val="0"/>
      </c:catAx>
      <c:valAx>
        <c:axId val="592094912"/>
        <c:scaling>
          <c:orientation val="minMax"/>
          <c:max val="35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308753920"/>
        <c:crosses val="autoZero"/>
        <c:crossBetween val="between"/>
        <c:majorUnit val="35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сальдированного финансового результата организаций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5521739130434781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2808207193278925"/>
          <c:w val="0.83605317813534175"/>
          <c:h val="0.583252032520325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Сальдированный финансовый результат организаций,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422,4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418,8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424,8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324,3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1200</c:v>
                </c:pt>
                <c:pt idx="1">
                  <c:v>1100</c:v>
                </c:pt>
                <c:pt idx="2">
                  <c:v>1200</c:v>
                </c:pt>
                <c:pt idx="3">
                  <c:v>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99246080"/>
        <c:axId val="59209606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1900</c:v>
                </c:pt>
                <c:pt idx="2">
                  <c:v>2100</c:v>
                </c:pt>
                <c:pt idx="3">
                  <c:v>2100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1776000"/>
        <c:axId val="592096640"/>
      </c:lineChart>
      <c:catAx>
        <c:axId val="29924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92096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096064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99246080"/>
        <c:crosses val="autoZero"/>
        <c:crossBetween val="between"/>
      </c:valAx>
      <c:catAx>
        <c:axId val="411776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2096640"/>
        <c:crosses val="autoZero"/>
        <c:auto val="1"/>
        <c:lblAlgn val="ctr"/>
        <c:lblOffset val="100"/>
        <c:noMultiLvlLbl val="0"/>
      </c:catAx>
      <c:valAx>
        <c:axId val="592096640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1776000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6393828820177965"/>
          <c:w val="0.90748594984948916"/>
          <c:h val="0.1360617117982203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</a:rPr>
              <a:t>Объем отгруженных промышленных товаров по обрабатывающим производствам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на 1000 человек за январь-сентябрь 2025 года, </a:t>
            </a:r>
            <a:r>
              <a:rPr lang="ru-RU" sz="105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млн руб.</a:t>
            </a:r>
            <a:endParaRPr lang="ru-RU" sz="1050" b="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 sz="105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179404045082599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22341262897693343"/>
          <c:w val="0.93432721200366664"/>
          <c:h val="0.355119498951519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1.5441529524449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Омск</c:v>
                </c:pt>
                <c:pt idx="1">
                  <c:v>Уфа</c:v>
                </c:pt>
                <c:pt idx="2">
                  <c:v>Челябинск</c:v>
                </c:pt>
                <c:pt idx="3">
                  <c:v>Екатеринбург </c:v>
                </c:pt>
                <c:pt idx="4">
                  <c:v>Пермь</c:v>
                </c:pt>
                <c:pt idx="5">
                  <c:v>Н. Новгород</c:v>
                </c:pt>
                <c:pt idx="6">
                  <c:v>Казань </c:v>
                </c:pt>
                <c:pt idx="7">
                  <c:v>Самара</c:v>
                </c:pt>
                <c:pt idx="8">
                  <c:v>Волгоград</c:v>
                </c:pt>
                <c:pt idx="9">
                  <c:v>Красноярск</c:v>
                </c:pt>
                <c:pt idx="10">
                  <c:v>Новосибирск</c:v>
                </c:pt>
                <c:pt idx="11">
                  <c:v>Ростов-на-Дону</c:v>
                </c:pt>
                <c:pt idx="12">
                  <c:v>Воронеж </c:v>
                </c:pt>
                <c:pt idx="13">
                  <c:v>Краснодар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1078.46</c:v>
                </c:pt>
                <c:pt idx="1">
                  <c:v>537.17999999999995</c:v>
                </c:pt>
                <c:pt idx="2">
                  <c:v>505.99</c:v>
                </c:pt>
                <c:pt idx="3">
                  <c:v>454.08</c:v>
                </c:pt>
                <c:pt idx="4">
                  <c:v>434.84</c:v>
                </c:pt>
                <c:pt idx="5">
                  <c:v>414.2</c:v>
                </c:pt>
                <c:pt idx="6">
                  <c:v>352.85</c:v>
                </c:pt>
                <c:pt idx="7">
                  <c:v>291.44</c:v>
                </c:pt>
                <c:pt idx="8">
                  <c:v>253.62</c:v>
                </c:pt>
                <c:pt idx="9">
                  <c:v>241.51</c:v>
                </c:pt>
                <c:pt idx="10">
                  <c:v>236.59</c:v>
                </c:pt>
                <c:pt idx="11">
                  <c:v>223.05</c:v>
                </c:pt>
                <c:pt idx="12">
                  <c:v>213.81</c:v>
                </c:pt>
                <c:pt idx="13">
                  <c:v>73.900000000000006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411777024"/>
        <c:axId val="592098944"/>
      </c:barChart>
      <c:catAx>
        <c:axId val="4117770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92098944"/>
        <c:crosses val="autoZero"/>
        <c:auto val="1"/>
        <c:lblAlgn val="ctr"/>
        <c:lblOffset val="100"/>
        <c:noMultiLvlLbl val="0"/>
      </c:catAx>
      <c:valAx>
        <c:axId val="592098944"/>
        <c:scaling>
          <c:orientation val="minMax"/>
          <c:max val="110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411777024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объема отгруженных промышленных товаров по обрабатывающим производствам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059123072737850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2288228638086906"/>
          <c:w val="0.83605317813534175"/>
          <c:h val="0.3462149897929425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Объем отгруженных промышленных товаров по обрабатывающим производствам,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458,2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7971014492753624E-3"/>
                  <c:y val="3.61052201808107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331,0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985507246376812E-3"/>
                  <c:y val="3.15235928842228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368,4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292,8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1600</c:v>
                </c:pt>
                <c:pt idx="1">
                  <c:v>1050</c:v>
                </c:pt>
                <c:pt idx="2">
                  <c:v>1150</c:v>
                </c:pt>
                <c:pt idx="3">
                  <c:v>800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99246592"/>
        <c:axId val="592100672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layout>
                <c:manualLayout>
                  <c:x val="-7.1130434782608665E-2"/>
                  <c:y val="-5.77782443861184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83768115942029E-2"/>
                  <c:y val="-5.77777777777778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3006276389364369E-2"/>
                  <c:y val="-5.64157480314960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8376811594203011E-2"/>
                  <c:y val="-5.77777777777777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2450</c:v>
                </c:pt>
                <c:pt idx="1">
                  <c:v>1800</c:v>
                </c:pt>
                <c:pt idx="2">
                  <c:v>1700</c:v>
                </c:pt>
                <c:pt idx="3">
                  <c:v>1900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1778560"/>
        <c:axId val="292102720"/>
      </c:lineChart>
      <c:catAx>
        <c:axId val="29924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92100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100672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99246592"/>
        <c:crosses val="autoZero"/>
        <c:crossBetween val="between"/>
      </c:valAx>
      <c:catAx>
        <c:axId val="4117785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2102720"/>
        <c:crosses val="autoZero"/>
        <c:auto val="1"/>
        <c:lblAlgn val="ctr"/>
        <c:lblOffset val="100"/>
        <c:noMultiLvlLbl val="0"/>
      </c:catAx>
      <c:valAx>
        <c:axId val="292102720"/>
        <c:scaling>
          <c:orientation val="minMax"/>
          <c:max val="28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1778560"/>
        <c:crosses val="max"/>
        <c:crossBetween val="between"/>
      </c:valAx>
      <c:spPr>
        <a:noFill/>
        <a:ln w="25395">
          <a:solidFill>
            <a:schemeClr val="bg1"/>
          </a:solidFill>
        </a:ln>
      </c:spPr>
    </c:plotArea>
    <c:legend>
      <c:legendPos val="b"/>
      <c:layout>
        <c:manualLayout>
          <c:xMode val="edge"/>
          <c:yMode val="edge"/>
          <c:x val="7.5436037886568524E-2"/>
          <c:y val="0.71579025955088948"/>
          <c:w val="0.90748594984948916"/>
          <c:h val="0.2842097404491105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Объем работ и услуг, выполненных по виду деятельности «Строительство»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 i="0" baseline="0">
                <a:effectLst/>
              </a:rPr>
              <a:t>на 1000 человек за январь-сентябрь 2025 года, </a:t>
            </a:r>
            <a:r>
              <a:rPr lang="ru-RU" sz="1050" b="0" i="1" baseline="0">
                <a:effectLst/>
              </a:rPr>
              <a:t>млн руб. </a:t>
            </a:r>
            <a:endParaRPr lang="ru-RU" sz="105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50734908136482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7426431990118881E-2"/>
          <c:y val="0.21013595800524934"/>
          <c:w val="0.93432721200366664"/>
          <c:h val="0.338452955160709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4378918860822581E-16"/>
                  <c:y val="1.0876211902083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1.6326530612244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Казань </c:v>
                </c:pt>
                <c:pt idx="1">
                  <c:v>Екатеринбург </c:v>
                </c:pt>
                <c:pt idx="2">
                  <c:v>Ростов-на-Дону</c:v>
                </c:pt>
                <c:pt idx="3">
                  <c:v>Красноярск</c:v>
                </c:pt>
                <c:pt idx="4">
                  <c:v>Омск</c:v>
                </c:pt>
                <c:pt idx="5">
                  <c:v>Краснодар</c:v>
                </c:pt>
                <c:pt idx="6">
                  <c:v>Уфа</c:v>
                </c:pt>
                <c:pt idx="7">
                  <c:v>Пермь</c:v>
                </c:pt>
                <c:pt idx="8">
                  <c:v>Воронеж </c:v>
                </c:pt>
                <c:pt idx="9">
                  <c:v>Н. Новгород</c:v>
                </c:pt>
                <c:pt idx="10">
                  <c:v>Самара</c:v>
                </c:pt>
                <c:pt idx="11">
                  <c:v>Волгоград</c:v>
                </c:pt>
                <c:pt idx="12">
                  <c:v>Челябинск</c:v>
                </c:pt>
                <c:pt idx="13">
                  <c:v>Новосибирск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78.53</c:v>
                </c:pt>
                <c:pt idx="1">
                  <c:v>53.6</c:v>
                </c:pt>
                <c:pt idx="2">
                  <c:v>40.81</c:v>
                </c:pt>
                <c:pt idx="3">
                  <c:v>35.56</c:v>
                </c:pt>
                <c:pt idx="4">
                  <c:v>34.64</c:v>
                </c:pt>
                <c:pt idx="5">
                  <c:v>32.56</c:v>
                </c:pt>
                <c:pt idx="6">
                  <c:v>31.6</c:v>
                </c:pt>
                <c:pt idx="7">
                  <c:v>30.36</c:v>
                </c:pt>
                <c:pt idx="8">
                  <c:v>27.34</c:v>
                </c:pt>
                <c:pt idx="9">
                  <c:v>22.59</c:v>
                </c:pt>
                <c:pt idx="10">
                  <c:v>18.899999999999999</c:v>
                </c:pt>
                <c:pt idx="11">
                  <c:v>18.420000000000002</c:v>
                </c:pt>
                <c:pt idx="12">
                  <c:v>17.77</c:v>
                </c:pt>
                <c:pt idx="13">
                  <c:v>11.8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411776512"/>
        <c:axId val="292105024"/>
      </c:barChart>
      <c:catAx>
        <c:axId val="41177651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2105024"/>
        <c:crosses val="autoZero"/>
        <c:auto val="1"/>
        <c:lblAlgn val="ctr"/>
        <c:lblOffset val="100"/>
        <c:noMultiLvlLbl val="0"/>
      </c:catAx>
      <c:valAx>
        <c:axId val="292105024"/>
        <c:scaling>
          <c:orientation val="minMax"/>
          <c:max val="80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solidFill>
                  <a:schemeClr val="bg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1776512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объема работ и услуг, выполненных по виду деятельности «Строительство</a:t>
            </a:r>
            <a:r>
              <a:rPr lang="ru-RU" sz="1050" b="1" i="0" u="none" strike="noStrike" baseline="0">
                <a:effectLst/>
              </a:rPr>
              <a:t>»</a:t>
            </a:r>
            <a:r>
              <a:rPr lang="ru-RU" sz="1050" b="0" i="0" u="none" strike="noStrike" baseline="0">
                <a:effectLst/>
              </a:rPr>
              <a:t>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2623188405797101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9294715187628572"/>
          <c:w val="0.83605317813534175"/>
          <c:h val="0.4051308586426696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Объем работ и услуг, выполненных по виду деятельности «Строительство»,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40,2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51,2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7971014492754682E-3"/>
                  <c:y val="1.975172022416116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51,8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43,1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1100</c:v>
                </c:pt>
                <c:pt idx="2">
                  <c:v>1150</c:v>
                </c:pt>
                <c:pt idx="3">
                  <c:v>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99249152"/>
        <c:axId val="292106176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4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2100</c:v>
                </c:pt>
                <c:pt idx="2">
                  <c:v>1900</c:v>
                </c:pt>
                <c:pt idx="3">
                  <c:v>2200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2984320"/>
        <c:axId val="292106752"/>
      </c:lineChart>
      <c:catAx>
        <c:axId val="29924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2106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2106176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99249152"/>
        <c:crosses val="autoZero"/>
        <c:crossBetween val="between"/>
      </c:valAx>
      <c:catAx>
        <c:axId val="412984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2106752"/>
        <c:crosses val="autoZero"/>
        <c:auto val="1"/>
        <c:lblAlgn val="ctr"/>
        <c:lblOffset val="100"/>
        <c:noMultiLvlLbl val="0"/>
      </c:catAx>
      <c:valAx>
        <c:axId val="292106752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2984320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4.6450530640191723E-2"/>
          <c:y val="0.7527412451821901"/>
          <c:w val="0.90748594984948916"/>
          <c:h val="0.24725875481780993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0">
                <a:latin typeface="Times New Roman" panose="02020603050405020304" pitchFamily="18" charset="0"/>
                <a:cs typeface="Times New Roman" panose="02020603050405020304" pitchFamily="18" charset="0"/>
              </a:rPr>
              <a:t>Ввод в действие жилых домов </a:t>
            </a:r>
            <a:r>
              <a:rPr lang="ru-RU" sz="1100" b="0" i="0" u="none" strike="noStrike" baseline="0">
                <a:effectLst/>
              </a:rPr>
              <a:t>на 1000 человек за январь-сентябрь 2025 года, </a:t>
            </a:r>
            <a:r>
              <a:rPr lang="ru-RU" sz="1100" b="0" i="1" u="none" strike="noStrike" baseline="0">
                <a:effectLst/>
              </a:rPr>
              <a:t>м</a:t>
            </a:r>
            <a:r>
              <a:rPr lang="ru-RU" sz="1100" b="0" i="1" u="none" strike="noStrike" baseline="30000">
                <a:effectLst/>
              </a:rPr>
              <a:t>2</a:t>
            </a:r>
            <a:r>
              <a:rPr lang="ru-RU" sz="1100" b="0" i="1" u="none" strike="noStrike" baseline="0">
                <a:effectLst/>
              </a:rPr>
              <a:t> </a:t>
            </a:r>
            <a:endParaRPr lang="ru-RU" sz="11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7275003859811641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19570517970967916"/>
          <c:w val="0.93432721200366664"/>
          <c:h val="0.346737967914438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2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2121352477999E-4"/>
                  <c:y val="2.0407627617976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9607843137256342E-3"/>
                  <c:y val="2.1760672773046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2.0719220442272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4378918860822581E-16"/>
                  <c:y val="2.2988505747126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Краснодар</c:v>
                </c:pt>
                <c:pt idx="1">
                  <c:v>Казань </c:v>
                </c:pt>
                <c:pt idx="2">
                  <c:v>Ростов-на-Дону</c:v>
                </c:pt>
                <c:pt idx="3">
                  <c:v>Екатеринбург </c:v>
                </c:pt>
                <c:pt idx="4">
                  <c:v>Воронеж </c:v>
                </c:pt>
                <c:pt idx="5">
                  <c:v>Новосибирск</c:v>
                </c:pt>
                <c:pt idx="6">
                  <c:v>Пермь</c:v>
                </c:pt>
                <c:pt idx="7">
                  <c:v>Волгоград</c:v>
                </c:pt>
                <c:pt idx="8">
                  <c:v>Н. Новгород</c:v>
                </c:pt>
                <c:pt idx="9">
                  <c:v>Омск</c:v>
                </c:pt>
                <c:pt idx="10">
                  <c:v>Уфа</c:v>
                </c:pt>
                <c:pt idx="11">
                  <c:v>Красноярск</c:v>
                </c:pt>
                <c:pt idx="12">
                  <c:v>Челябинск</c:v>
                </c:pt>
                <c:pt idx="13">
                  <c:v>Самара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1474.27</c:v>
                </c:pt>
                <c:pt idx="1">
                  <c:v>750.44</c:v>
                </c:pt>
                <c:pt idx="2">
                  <c:v>618.44000000000005</c:v>
                </c:pt>
                <c:pt idx="3">
                  <c:v>498.36</c:v>
                </c:pt>
                <c:pt idx="4">
                  <c:v>478.04</c:v>
                </c:pt>
                <c:pt idx="5">
                  <c:v>452.29</c:v>
                </c:pt>
                <c:pt idx="6">
                  <c:v>439.43</c:v>
                </c:pt>
                <c:pt idx="7">
                  <c:v>426.53</c:v>
                </c:pt>
                <c:pt idx="8">
                  <c:v>366.39</c:v>
                </c:pt>
                <c:pt idx="9">
                  <c:v>330.09</c:v>
                </c:pt>
                <c:pt idx="10">
                  <c:v>314.79000000000002</c:v>
                </c:pt>
                <c:pt idx="11">
                  <c:v>308.41000000000003</c:v>
                </c:pt>
                <c:pt idx="12">
                  <c:v>256.97000000000003</c:v>
                </c:pt>
                <c:pt idx="13">
                  <c:v>255.33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412985344"/>
        <c:axId val="292108480"/>
      </c:barChart>
      <c:catAx>
        <c:axId val="4129853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2108480"/>
        <c:crosses val="autoZero"/>
        <c:auto val="1"/>
        <c:lblAlgn val="ctr"/>
        <c:lblOffset val="100"/>
        <c:noMultiLvlLbl val="0"/>
      </c:catAx>
      <c:valAx>
        <c:axId val="292108480"/>
        <c:scaling>
          <c:orientation val="minMax"/>
          <c:max val="150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412985344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ввода в действие жилых домов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0594202898550725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6.4589926259217584E-2"/>
          <c:w val="0.83605317813534175"/>
          <c:h val="0.646744156980377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Ввод в действие жилых домов, тыс. м2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833,9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911,0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794,7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374,0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1200</c:v>
                </c:pt>
                <c:pt idx="1">
                  <c:v>1300</c:v>
                </c:pt>
                <c:pt idx="2">
                  <c:v>1100</c:v>
                </c:pt>
                <c:pt idx="3">
                  <c:v>600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8752384"/>
        <c:axId val="292200448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2200</c:v>
                </c:pt>
                <c:pt idx="1">
                  <c:v>1900</c:v>
                </c:pt>
                <c:pt idx="2">
                  <c:v>1900</c:v>
                </c:pt>
                <c:pt idx="3">
                  <c:v>1200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2986880"/>
        <c:axId val="292201024"/>
      </c:lineChart>
      <c:catAx>
        <c:axId val="30875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22004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2200448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752384"/>
        <c:crosses val="autoZero"/>
        <c:crossBetween val="between"/>
      </c:valAx>
      <c:catAx>
        <c:axId val="412986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2201024"/>
        <c:crosses val="autoZero"/>
        <c:auto val="1"/>
        <c:lblAlgn val="ctr"/>
        <c:lblOffset val="100"/>
        <c:noMultiLvlLbl val="0"/>
      </c:catAx>
      <c:valAx>
        <c:axId val="292201024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2986880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6393828820177965"/>
          <c:w val="0.90748594984948916"/>
          <c:h val="0.1360617117982203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0">
                <a:latin typeface="Times New Roman" panose="02020603050405020304" pitchFamily="18" charset="0"/>
                <a:cs typeface="Times New Roman" panose="02020603050405020304" pitchFamily="18" charset="0"/>
              </a:rPr>
              <a:t>Зарегистрировано родившихся на 1000 человек населения в 2024 году, </a:t>
            </a:r>
            <a:r>
              <a:rPr lang="ru-RU" sz="110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промилле </a:t>
            </a:r>
          </a:p>
        </c:rich>
      </c:tx>
      <c:layout>
        <c:manualLayout>
          <c:xMode val="edge"/>
          <c:yMode val="edge"/>
          <c:x val="0.12222374265072536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3400046222910403E-2"/>
          <c:y val="0.19219480898221059"/>
          <c:w val="0.93432721200366664"/>
          <c:h val="0.37215398075240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Краснодар</c:v>
                </c:pt>
                <c:pt idx="1">
                  <c:v>Казань </c:v>
                </c:pt>
                <c:pt idx="2">
                  <c:v>Екатеринбург </c:v>
                </c:pt>
                <c:pt idx="3">
                  <c:v>Челябинск</c:v>
                </c:pt>
                <c:pt idx="4">
                  <c:v>Новосибирск</c:v>
                </c:pt>
                <c:pt idx="5">
                  <c:v>Ростов-на-Дону</c:v>
                </c:pt>
                <c:pt idx="6">
                  <c:v>Красноярск</c:v>
                </c:pt>
                <c:pt idx="7">
                  <c:v>Пермь</c:v>
                </c:pt>
                <c:pt idx="8">
                  <c:v>Уфа</c:v>
                </c:pt>
                <c:pt idx="9">
                  <c:v>Самара</c:v>
                </c:pt>
                <c:pt idx="10">
                  <c:v>Н. Новгород</c:v>
                </c:pt>
                <c:pt idx="11">
                  <c:v>Воронеж </c:v>
                </c:pt>
                <c:pt idx="12">
                  <c:v>Омск</c:v>
                </c:pt>
                <c:pt idx="13">
                  <c:v>Волгоград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11.6</c:v>
                </c:pt>
                <c:pt idx="1">
                  <c:v>10</c:v>
                </c:pt>
                <c:pt idx="2">
                  <c:v>9.9</c:v>
                </c:pt>
                <c:pt idx="3">
                  <c:v>9.5</c:v>
                </c:pt>
                <c:pt idx="4">
                  <c:v>9.4</c:v>
                </c:pt>
                <c:pt idx="5">
                  <c:v>8.6999999999999993</c:v>
                </c:pt>
                <c:pt idx="6">
                  <c:v>8.6</c:v>
                </c:pt>
                <c:pt idx="7">
                  <c:v>8.6</c:v>
                </c:pt>
                <c:pt idx="8">
                  <c:v>8.1</c:v>
                </c:pt>
                <c:pt idx="9">
                  <c:v>8</c:v>
                </c:pt>
                <c:pt idx="10">
                  <c:v>7.7</c:v>
                </c:pt>
                <c:pt idx="11">
                  <c:v>7.7</c:v>
                </c:pt>
                <c:pt idx="12">
                  <c:v>7.5</c:v>
                </c:pt>
                <c:pt idx="13">
                  <c:v>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220279808"/>
        <c:axId val="289334976"/>
      </c:barChart>
      <c:catAx>
        <c:axId val="2202798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89334976"/>
        <c:crosses val="autoZero"/>
        <c:auto val="1"/>
        <c:lblAlgn val="ctr"/>
        <c:lblOffset val="100"/>
        <c:noMultiLvlLbl val="0"/>
      </c:catAx>
      <c:valAx>
        <c:axId val="289334976"/>
        <c:scaling>
          <c:orientation val="minMax"/>
          <c:max val="12"/>
          <c:min val="4"/>
        </c:scaling>
        <c:delete val="1"/>
        <c:axPos val="l"/>
        <c:numFmt formatCode="#,##0" sourceLinked="0"/>
        <c:majorTickMark val="out"/>
        <c:minorTickMark val="none"/>
        <c:tickLblPos val="nextTo"/>
        <c:crossAx val="220279808"/>
        <c:crosses val="autoZero"/>
        <c:crossBetween val="between"/>
        <c:majorUnit val="12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</a:rPr>
              <a:t>Инвестиции в основной капитал на 1000 человек за январь-сентябрь 2025 года, </a:t>
            </a:r>
            <a:r>
              <a:rPr lang="ru-RU" sz="1050" b="0" i="1" u="none" strike="noStrike" baseline="0">
                <a:effectLst/>
              </a:rPr>
              <a:t>млн руб. </a:t>
            </a:r>
            <a:endParaRPr lang="ru-RU" sz="1050" b="0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332839277443261"/>
          <c:y val="4.188481675392670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6.2602902578354172E-2"/>
          <c:y val="0.22000027774305989"/>
          <c:w val="0.93432721200366664"/>
          <c:h val="0.375190323431793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97560599049957E-4"/>
                  <c:y val="1.8202144527155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9607843137254902E-3"/>
                  <c:y val="1.8691588785046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Ростов-на-Дону</c:v>
                </c:pt>
                <c:pt idx="1">
                  <c:v>Пермь</c:v>
                </c:pt>
                <c:pt idx="2">
                  <c:v>Казань </c:v>
                </c:pt>
                <c:pt idx="3">
                  <c:v>Екатеринбург </c:v>
                </c:pt>
                <c:pt idx="4">
                  <c:v>Уфа</c:v>
                </c:pt>
                <c:pt idx="5">
                  <c:v>Краснодар</c:v>
                </c:pt>
                <c:pt idx="6">
                  <c:v>Красноярск</c:v>
                </c:pt>
                <c:pt idx="7">
                  <c:v>Н. Новгород</c:v>
                </c:pt>
                <c:pt idx="8">
                  <c:v>Челябинск</c:v>
                </c:pt>
                <c:pt idx="9">
                  <c:v>Новосибирск</c:v>
                </c:pt>
                <c:pt idx="10">
                  <c:v>Омск</c:v>
                </c:pt>
                <c:pt idx="11">
                  <c:v>Воронеж </c:v>
                </c:pt>
                <c:pt idx="12">
                  <c:v>Волгоград</c:v>
                </c:pt>
                <c:pt idx="13">
                  <c:v>Самара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125.08</c:v>
                </c:pt>
                <c:pt idx="1">
                  <c:v>113.67</c:v>
                </c:pt>
                <c:pt idx="2">
                  <c:v>108.7</c:v>
                </c:pt>
                <c:pt idx="3">
                  <c:v>89.28</c:v>
                </c:pt>
                <c:pt idx="4">
                  <c:v>86.2</c:v>
                </c:pt>
                <c:pt idx="5">
                  <c:v>75.59</c:v>
                </c:pt>
                <c:pt idx="6">
                  <c:v>66.06</c:v>
                </c:pt>
                <c:pt idx="7">
                  <c:v>62.8</c:v>
                </c:pt>
                <c:pt idx="8">
                  <c:v>59.45</c:v>
                </c:pt>
                <c:pt idx="9">
                  <c:v>57.36</c:v>
                </c:pt>
                <c:pt idx="10">
                  <c:v>50.54</c:v>
                </c:pt>
                <c:pt idx="11">
                  <c:v>47.36</c:v>
                </c:pt>
                <c:pt idx="12">
                  <c:v>46.46</c:v>
                </c:pt>
                <c:pt idx="13">
                  <c:v>45.96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412984832"/>
        <c:axId val="292202752"/>
      </c:barChart>
      <c:catAx>
        <c:axId val="4129848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2202752"/>
        <c:crosses val="autoZero"/>
        <c:auto val="1"/>
        <c:lblAlgn val="ctr"/>
        <c:lblOffset val="100"/>
        <c:noMultiLvlLbl val="0"/>
      </c:catAx>
      <c:valAx>
        <c:axId val="292202752"/>
        <c:scaling>
          <c:orientation val="minMax"/>
          <c:max val="15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412984832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инвестиций в основной капитал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1463768115942027"/>
          <c:y val="2.836879432624113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7063550566817448"/>
          <c:w val="0.83605317813534175"/>
          <c:h val="0.4697766236667225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Инвестиции в основной капитал,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115,4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133,1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7971014492753624E-3"/>
                  <c:y val="3.50220584129111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160,0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120,1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1000</c:v>
                </c:pt>
                <c:pt idx="2">
                  <c:v>1250</c:v>
                </c:pt>
                <c:pt idx="3">
                  <c:v>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308754944"/>
        <c:axId val="292204480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11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2200</c:v>
                </c:pt>
                <c:pt idx="1">
                  <c:v>2000</c:v>
                </c:pt>
                <c:pt idx="2">
                  <c:v>1900</c:v>
                </c:pt>
                <c:pt idx="3">
                  <c:v>2400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3371776"/>
        <c:axId val="292205056"/>
      </c:lineChart>
      <c:catAx>
        <c:axId val="30875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2204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2204480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308754944"/>
        <c:crosses val="autoZero"/>
        <c:crossBetween val="between"/>
      </c:valAx>
      <c:catAx>
        <c:axId val="423371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2205056"/>
        <c:crosses val="autoZero"/>
        <c:auto val="1"/>
        <c:lblAlgn val="ctr"/>
        <c:lblOffset val="100"/>
        <c:noMultiLvlLbl val="0"/>
      </c:catAx>
      <c:valAx>
        <c:axId val="292205056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23371776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3.7754878466278674E-2"/>
          <c:y val="0.80010833752163957"/>
          <c:w val="0.90748594984948916"/>
          <c:h val="0.199891662478360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Оборот розничной торговли на 1000 человек за январь-сентябрь 2025 года, </a:t>
            </a:r>
            <a:r>
              <a:rPr lang="ru-RU" sz="1050" b="0" i="1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млн руб. </a:t>
            </a:r>
            <a:endParaRPr lang="ru-RU" sz="105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21102071918429555"/>
          <c:w val="0.93432721200366664"/>
          <c:h val="0.330336383627722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5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43135339296111E-7"/>
                  <c:y val="9.31211723534558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4576331421028E-4"/>
                  <c:y val="1.687161866838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Краснодар</c:v>
                </c:pt>
                <c:pt idx="1">
                  <c:v>Н. Новгород</c:v>
                </c:pt>
                <c:pt idx="2">
                  <c:v>Екатеринбург </c:v>
                </c:pt>
                <c:pt idx="3">
                  <c:v>Казань </c:v>
                </c:pt>
                <c:pt idx="4">
                  <c:v>Ростов-на-Дону</c:v>
                </c:pt>
                <c:pt idx="5">
                  <c:v>Новосибирск</c:v>
                </c:pt>
                <c:pt idx="6">
                  <c:v>Самара</c:v>
                </c:pt>
                <c:pt idx="7">
                  <c:v>Челябинск</c:v>
                </c:pt>
                <c:pt idx="8">
                  <c:v>Воронеж </c:v>
                </c:pt>
                <c:pt idx="9">
                  <c:v>Пермь</c:v>
                </c:pt>
                <c:pt idx="10">
                  <c:v>Волгоград</c:v>
                </c:pt>
                <c:pt idx="11">
                  <c:v>Красноярск</c:v>
                </c:pt>
                <c:pt idx="12">
                  <c:v>Уфа</c:v>
                </c:pt>
                <c:pt idx="13">
                  <c:v>Омск</c:v>
                </c:pt>
              </c:strCache>
            </c:strRef>
          </c:cat>
          <c:val>
            <c:numRef>
              <c:f>Лист1!$B$2:$B$15</c:f>
              <c:numCache>
                <c:formatCode>0.0</c:formatCode>
                <c:ptCount val="14"/>
                <c:pt idx="0">
                  <c:v>315.24</c:v>
                </c:pt>
                <c:pt idx="1">
                  <c:v>277.83999999999997</c:v>
                </c:pt>
                <c:pt idx="2">
                  <c:v>245.66</c:v>
                </c:pt>
                <c:pt idx="3">
                  <c:v>235.77</c:v>
                </c:pt>
                <c:pt idx="4">
                  <c:v>231.34</c:v>
                </c:pt>
                <c:pt idx="5">
                  <c:v>226.62</c:v>
                </c:pt>
                <c:pt idx="6">
                  <c:v>220.34</c:v>
                </c:pt>
                <c:pt idx="7">
                  <c:v>214.71</c:v>
                </c:pt>
                <c:pt idx="8">
                  <c:v>212.74</c:v>
                </c:pt>
                <c:pt idx="9">
                  <c:v>207.18</c:v>
                </c:pt>
                <c:pt idx="10">
                  <c:v>202.55</c:v>
                </c:pt>
                <c:pt idx="11">
                  <c:v>193.28</c:v>
                </c:pt>
                <c:pt idx="12">
                  <c:v>182.46</c:v>
                </c:pt>
                <c:pt idx="13">
                  <c:v>166.67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423372800"/>
        <c:axId val="292206784"/>
      </c:barChart>
      <c:catAx>
        <c:axId val="423372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2206784"/>
        <c:crosses val="autoZero"/>
        <c:auto val="1"/>
        <c:lblAlgn val="ctr"/>
        <c:lblOffset val="100"/>
        <c:noMultiLvlLbl val="0"/>
      </c:catAx>
      <c:valAx>
        <c:axId val="292206784"/>
        <c:scaling>
          <c:orientation val="minMax"/>
          <c:max val="32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423372800"/>
        <c:crosses val="autoZero"/>
        <c:crossBetween val="between"/>
        <c:majorUnit val="7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оборота розничной торговли </a:t>
            </a: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2623188405797101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2808207193278925"/>
          <c:w val="0.83605317813534175"/>
          <c:h val="0.583252032520325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Оборот розничной торговли,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204,9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237,9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285,9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6956521739131494E-3"/>
                  <c:y val="1.832696655492314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234,4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1100</c:v>
                </c:pt>
                <c:pt idx="2">
                  <c:v>1300</c:v>
                </c:pt>
                <c:pt idx="3">
                  <c:v>1090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411774976"/>
        <c:axId val="292257792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12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2300</c:v>
                </c:pt>
                <c:pt idx="1">
                  <c:v>1900</c:v>
                </c:pt>
                <c:pt idx="2">
                  <c:v>1900</c:v>
                </c:pt>
                <c:pt idx="3">
                  <c:v>2100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3374336"/>
        <c:axId val="292258368"/>
      </c:lineChart>
      <c:catAx>
        <c:axId val="41177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22577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2257792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1774976"/>
        <c:crosses val="autoZero"/>
        <c:crossBetween val="between"/>
      </c:valAx>
      <c:catAx>
        <c:axId val="423374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2258368"/>
        <c:crosses val="autoZero"/>
        <c:auto val="1"/>
        <c:lblAlgn val="ctr"/>
        <c:lblOffset val="100"/>
        <c:noMultiLvlLbl val="0"/>
      </c:catAx>
      <c:valAx>
        <c:axId val="292258368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23374336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6393828820177965"/>
          <c:w val="0.90748594984948916"/>
          <c:h val="0.1360617117982203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</a:rPr>
              <a:t>Оборот общественного питания на 1000 человек за январь-сентябрь 2025 года, </a:t>
            </a:r>
            <a:r>
              <a:rPr lang="ru-RU" sz="1050" b="0" i="1" u="none" strike="noStrike" baseline="0">
                <a:effectLst/>
              </a:rPr>
              <a:t>млн руб</a:t>
            </a:r>
            <a:endParaRPr lang="ru-RU" sz="105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25172815327018133"/>
          <c:w val="0.93432721200366664"/>
          <c:h val="0.30550691526253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</c:dPt>
          <c:dPt>
            <c:idx val="13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4576331421028E-4"/>
                  <c:y val="1.687161866838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5431353385775328E-7"/>
                  <c:y val="2.3584942507186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Казань </c:v>
                </c:pt>
                <c:pt idx="1">
                  <c:v>Краснодар</c:v>
                </c:pt>
                <c:pt idx="2">
                  <c:v>Ростов-на-Дону</c:v>
                </c:pt>
                <c:pt idx="3">
                  <c:v>Екатеринбург </c:v>
                </c:pt>
                <c:pt idx="4">
                  <c:v>Самара</c:v>
                </c:pt>
                <c:pt idx="5">
                  <c:v>Н. Новгород</c:v>
                </c:pt>
                <c:pt idx="6">
                  <c:v>Волгоград</c:v>
                </c:pt>
                <c:pt idx="7">
                  <c:v>Уфа</c:v>
                </c:pt>
                <c:pt idx="8">
                  <c:v>Пермь</c:v>
                </c:pt>
                <c:pt idx="9">
                  <c:v>Красноярск</c:v>
                </c:pt>
                <c:pt idx="10">
                  <c:v>Новосибирск</c:v>
                </c:pt>
                <c:pt idx="11">
                  <c:v>Воронеж </c:v>
                </c:pt>
                <c:pt idx="12">
                  <c:v>Челябинск</c:v>
                </c:pt>
                <c:pt idx="13">
                  <c:v>Омск</c:v>
                </c:pt>
              </c:strCache>
            </c:strRef>
          </c:cat>
          <c:val>
            <c:numRef>
              <c:f>Лист1!$B$2:$B$15</c:f>
              <c:numCache>
                <c:formatCode>#,##0.00</c:formatCode>
                <c:ptCount val="14"/>
                <c:pt idx="0">
                  <c:v>13.32</c:v>
                </c:pt>
                <c:pt idx="1">
                  <c:v>9.41</c:v>
                </c:pt>
                <c:pt idx="2">
                  <c:v>8.8800000000000008</c:v>
                </c:pt>
                <c:pt idx="3">
                  <c:v>8.56</c:v>
                </c:pt>
                <c:pt idx="4">
                  <c:v>8.1300000000000008</c:v>
                </c:pt>
                <c:pt idx="5">
                  <c:v>7.93</c:v>
                </c:pt>
                <c:pt idx="6">
                  <c:v>7.58</c:v>
                </c:pt>
                <c:pt idx="7">
                  <c:v>7.04</c:v>
                </c:pt>
                <c:pt idx="8">
                  <c:v>6.82</c:v>
                </c:pt>
                <c:pt idx="9">
                  <c:v>6.25</c:v>
                </c:pt>
                <c:pt idx="10">
                  <c:v>5.44</c:v>
                </c:pt>
                <c:pt idx="11">
                  <c:v>5.1100000000000003</c:v>
                </c:pt>
                <c:pt idx="12">
                  <c:v>4.8099999999999996</c:v>
                </c:pt>
                <c:pt idx="13">
                  <c:v>4.38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423372288"/>
        <c:axId val="292260096"/>
      </c:barChart>
      <c:catAx>
        <c:axId val="4233722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2260096"/>
        <c:crosses val="autoZero"/>
        <c:auto val="1"/>
        <c:lblAlgn val="ctr"/>
        <c:lblOffset val="100"/>
        <c:noMultiLvlLbl val="0"/>
      </c:catAx>
      <c:valAx>
        <c:axId val="292260096"/>
        <c:scaling>
          <c:orientation val="minMax"/>
          <c:max val="15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423372288"/>
        <c:crosses val="autoZero"/>
        <c:crossBetween val="between"/>
        <c:majorUnit val="3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u="none" strike="noStrike" baseline="0">
                <a:effectLst/>
              </a:rPr>
              <a:t>Динамика оборота общественного питания </a:t>
            </a:r>
            <a:br>
              <a:rPr lang="ru-RU" sz="1050" b="0" i="0" u="none" strike="noStrike" baseline="0">
                <a:effectLst/>
              </a:rPr>
            </a:br>
            <a:r>
              <a:rPr lang="ru-RU" sz="1050" b="0" i="0" baseline="0">
                <a:effectLst/>
              </a:rPr>
              <a:t>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0449275362318842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7694796003902655"/>
          <c:w val="0.83605317813534175"/>
          <c:h val="0.5343865001168047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Оборот общественного питания, млрд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800</c:v>
                </c:pt>
                <c:pt idx="1">
                  <c:v>900</c:v>
                </c:pt>
                <c:pt idx="2">
                  <c:v>1213</c:v>
                </c:pt>
                <c:pt idx="3">
                  <c:v>950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411777536"/>
        <c:axId val="29226182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10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1900</c:v>
                </c:pt>
                <c:pt idx="2">
                  <c:v>1900</c:v>
                </c:pt>
                <c:pt idx="3">
                  <c:v>1800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4092672"/>
        <c:axId val="292262400"/>
      </c:lineChart>
      <c:catAx>
        <c:axId val="41177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22618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2261824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1777536"/>
        <c:crosses val="autoZero"/>
        <c:crossBetween val="between"/>
      </c:valAx>
      <c:catAx>
        <c:axId val="424092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2262400"/>
        <c:crosses val="autoZero"/>
        <c:auto val="1"/>
        <c:lblAlgn val="ctr"/>
        <c:lblOffset val="100"/>
        <c:noMultiLvlLbl val="0"/>
      </c:catAx>
      <c:valAx>
        <c:axId val="292262400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24092672"/>
        <c:crosses val="max"/>
        <c:crossBetween val="between"/>
      </c:valAx>
      <c:spPr>
        <a:noFill/>
        <a:ln w="25395">
          <a:solidFill>
            <a:schemeClr val="bg1"/>
          </a:solidFill>
        </a:ln>
      </c:spPr>
    </c:plotArea>
    <c:legend>
      <c:legendPos val="b"/>
      <c:layout>
        <c:manualLayout>
          <c:xMode val="edge"/>
          <c:yMode val="edge"/>
          <c:x val="7.5436037886568524E-2"/>
          <c:y val="0.86393828820177965"/>
          <c:w val="0.90748594984948916"/>
          <c:h val="0.1360617117982203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 i="0" u="none" strike="noStrike" baseline="0">
                <a:effectLst/>
              </a:rPr>
              <a:t>Бюджетная обеспеченность на 1 человека за январь-сентябрь 2025 года, </a:t>
            </a:r>
            <a:r>
              <a:rPr lang="ru-RU" sz="1050" b="0" i="1" u="none" strike="noStrike" baseline="0">
                <a:effectLst/>
              </a:rPr>
              <a:t>тыс. руб.</a:t>
            </a:r>
            <a:endParaRPr lang="ru-RU" sz="105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015686274509802"/>
          <c:y val="3.490401396160558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25172815327018133"/>
          <c:w val="0.93432721200366664"/>
          <c:h val="0.30550691526253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4576331421028E-4"/>
                  <c:y val="1.687161866838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5431353385775328E-7"/>
                  <c:y val="2.3584942507186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Краснодар</c:v>
                </c:pt>
                <c:pt idx="1">
                  <c:v>Новосибирск</c:v>
                </c:pt>
                <c:pt idx="2">
                  <c:v>Екатеринбург </c:v>
                </c:pt>
                <c:pt idx="3">
                  <c:v>Челябинск</c:v>
                </c:pt>
                <c:pt idx="4">
                  <c:v>Красноярск</c:v>
                </c:pt>
                <c:pt idx="5">
                  <c:v>Пермь</c:v>
                </c:pt>
                <c:pt idx="6">
                  <c:v>Ростов-на-Дону</c:v>
                </c:pt>
                <c:pt idx="7">
                  <c:v>Н. Новгород</c:v>
                </c:pt>
                <c:pt idx="8">
                  <c:v>Воронеж </c:v>
                </c:pt>
                <c:pt idx="9">
                  <c:v>Самара</c:v>
                </c:pt>
                <c:pt idx="10">
                  <c:v>Казань </c:v>
                </c:pt>
                <c:pt idx="11">
                  <c:v>Омск</c:v>
                </c:pt>
                <c:pt idx="12">
                  <c:v>Уфа</c:v>
                </c:pt>
              </c:strCache>
            </c:strRef>
          </c:cat>
          <c:val>
            <c:numRef>
              <c:f>Лист1!$B$2:$B$14</c:f>
              <c:numCache>
                <c:formatCode>#,##0.0</c:formatCode>
                <c:ptCount val="13"/>
                <c:pt idx="0">
                  <c:v>49.5</c:v>
                </c:pt>
                <c:pt idx="1">
                  <c:v>43.8</c:v>
                </c:pt>
                <c:pt idx="2">
                  <c:v>42</c:v>
                </c:pt>
                <c:pt idx="3">
                  <c:v>40.6</c:v>
                </c:pt>
                <c:pt idx="4">
                  <c:v>40.5</c:v>
                </c:pt>
                <c:pt idx="5">
                  <c:v>40</c:v>
                </c:pt>
                <c:pt idx="6">
                  <c:v>37.799999999999997</c:v>
                </c:pt>
                <c:pt idx="7">
                  <c:v>37.6</c:v>
                </c:pt>
                <c:pt idx="8">
                  <c:v>33.799999999999997</c:v>
                </c:pt>
                <c:pt idx="9">
                  <c:v>32</c:v>
                </c:pt>
                <c:pt idx="10">
                  <c:v>31.8</c:v>
                </c:pt>
                <c:pt idx="11">
                  <c:v>27.9</c:v>
                </c:pt>
                <c:pt idx="12">
                  <c:v>26.1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424093696"/>
        <c:axId val="292264128"/>
      </c:barChart>
      <c:catAx>
        <c:axId val="4240936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2264128"/>
        <c:crosses val="autoZero"/>
        <c:auto val="1"/>
        <c:lblAlgn val="ctr"/>
        <c:lblOffset val="100"/>
        <c:noMultiLvlLbl val="0"/>
      </c:catAx>
      <c:valAx>
        <c:axId val="292264128"/>
        <c:scaling>
          <c:orientation val="minMax"/>
          <c:max val="5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424093696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0" i="0" u="none" strike="noStrike" kern="1200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1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бюджетной обеспеченности в г. Красноярске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02898550724637"/>
          <c:y val="6.0750514293821381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2808207193278925"/>
          <c:w val="0.83605317813534175"/>
          <c:h val="0.5039727601617365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Бюджетная обеспеченность на 1 человека, тыс.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43,8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46,9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52,6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40,5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Лист5!$B$5:$B$8</c:f>
              <c:numCache>
                <c:formatCode>#,##0</c:formatCode>
                <c:ptCount val="4"/>
                <c:pt idx="0">
                  <c:v>1100</c:v>
                </c:pt>
                <c:pt idx="1">
                  <c:v>1150</c:v>
                </c:pt>
                <c:pt idx="2">
                  <c:v>1213</c:v>
                </c:pt>
                <c:pt idx="3">
                  <c:v>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412983296"/>
        <c:axId val="293847040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 (9 мес.)</c:v>
                </c:pt>
              </c:strCache>
            </c:str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2100</c:v>
                </c:pt>
                <c:pt idx="1">
                  <c:v>1900</c:v>
                </c:pt>
                <c:pt idx="2">
                  <c:v>1900</c:v>
                </c:pt>
                <c:pt idx="3">
                  <c:v>2100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4095232"/>
        <c:axId val="293847616"/>
      </c:lineChart>
      <c:catAx>
        <c:axId val="41298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38470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3847040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12983296"/>
        <c:crosses val="autoZero"/>
        <c:crossBetween val="between"/>
      </c:valAx>
      <c:catAx>
        <c:axId val="424095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3847616"/>
        <c:crosses val="autoZero"/>
        <c:auto val="1"/>
        <c:lblAlgn val="ctr"/>
        <c:lblOffset val="100"/>
        <c:noMultiLvlLbl val="0"/>
      </c:catAx>
      <c:valAx>
        <c:axId val="293847616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424095232"/>
        <c:crosses val="max"/>
        <c:crossBetween val="between"/>
      </c:valAx>
      <c:spPr>
        <a:noFill/>
        <a:ln w="25395">
          <a:solidFill>
            <a:schemeClr val="bg1"/>
          </a:solidFill>
        </a:ln>
      </c:spPr>
    </c:plotArea>
    <c:legend>
      <c:legendPos val="b"/>
      <c:layout>
        <c:manualLayout>
          <c:xMode val="edge"/>
          <c:yMode val="edge"/>
          <c:x val="7.5436037886568524E-2"/>
          <c:y val="0.77024444917358303"/>
          <c:w val="0.90748594984948916"/>
          <c:h val="0.22975555082641697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solidFill>
        <a:schemeClr val="bg1"/>
      </a:solidFill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50"/>
            </a:pPr>
            <a:r>
              <a:rPr lang="ru-RU" sz="1050" b="0" i="0" baseline="0">
                <a:effectLst/>
              </a:rPr>
              <a:t>Динамика родившихся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2768115942028985"/>
          <c:y val="3.8343255873503619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1508311461067368"/>
          <c:w val="0.83605317813534175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Зарегистрировано родившихся,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10 833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0 656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 403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1200</c:v>
                </c:pt>
                <c:pt idx="1">
                  <c:v>1100</c:v>
                </c:pt>
                <c:pt idx="2">
                  <c:v>1000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21361152"/>
        <c:axId val="289336704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2100</c:v>
                </c:pt>
                <c:pt idx="1">
                  <c:v>2100</c:v>
                </c:pt>
                <c:pt idx="2">
                  <c:v>1500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1362688"/>
        <c:axId val="289337280"/>
      </c:lineChart>
      <c:catAx>
        <c:axId val="2213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89336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9336704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21361152"/>
        <c:crosses val="autoZero"/>
        <c:crossBetween val="between"/>
      </c:valAx>
      <c:catAx>
        <c:axId val="221362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9337280"/>
        <c:crosses val="autoZero"/>
        <c:auto val="1"/>
        <c:lblAlgn val="ctr"/>
        <c:lblOffset val="100"/>
        <c:noMultiLvlLbl val="0"/>
      </c:catAx>
      <c:valAx>
        <c:axId val="289337280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21362688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726679435340857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Зарегистрировано умерших на 1000 человек населения в 2024 году, </a:t>
            </a:r>
            <a:r>
              <a:rPr lang="ru-RU" sz="1100" b="0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промилле 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93381294964028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3.956962933590135E-2"/>
          <c:y val="0.15170051112032051"/>
          <c:w val="0.94821119289071587"/>
          <c:h val="0.40188485211278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6870848890367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75187026765609E-4"/>
                  <c:y val="1.1559783350780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Красноярск</c:v>
                </c:pt>
                <c:pt idx="1">
                  <c:v>Уфа</c:v>
                </c:pt>
                <c:pt idx="2">
                  <c:v>Казань </c:v>
                </c:pt>
                <c:pt idx="3">
                  <c:v>Краснодар</c:v>
                </c:pt>
                <c:pt idx="4">
                  <c:v>Екатеринбург </c:v>
                </c:pt>
                <c:pt idx="5">
                  <c:v>Ростов-на-Дону</c:v>
                </c:pt>
                <c:pt idx="6">
                  <c:v>Челябинск</c:v>
                </c:pt>
                <c:pt idx="7">
                  <c:v>Пермь</c:v>
                </c:pt>
                <c:pt idx="8">
                  <c:v>Волгоград</c:v>
                </c:pt>
                <c:pt idx="9">
                  <c:v>Новосибирск</c:v>
                </c:pt>
                <c:pt idx="10">
                  <c:v>Омск</c:v>
                </c:pt>
                <c:pt idx="11">
                  <c:v>Воронеж </c:v>
                </c:pt>
                <c:pt idx="12">
                  <c:v>Н. Новгород</c:v>
                </c:pt>
                <c:pt idx="13">
                  <c:v>Самара</c:v>
                </c:pt>
              </c:strCache>
            </c:strRef>
          </c:cat>
          <c:val>
            <c:numRef>
              <c:f>Лист1!$B$2:$B$15</c:f>
              <c:numCache>
                <c:formatCode>#,##0.0</c:formatCode>
                <c:ptCount val="14"/>
                <c:pt idx="0">
                  <c:v>9.9</c:v>
                </c:pt>
                <c:pt idx="1">
                  <c:v>10</c:v>
                </c:pt>
                <c:pt idx="2">
                  <c:v>10</c:v>
                </c:pt>
                <c:pt idx="3">
                  <c:v>10.3</c:v>
                </c:pt>
                <c:pt idx="4">
                  <c:v>10.6</c:v>
                </c:pt>
                <c:pt idx="5">
                  <c:v>11.4</c:v>
                </c:pt>
                <c:pt idx="6">
                  <c:v>11.7</c:v>
                </c:pt>
                <c:pt idx="7">
                  <c:v>12</c:v>
                </c:pt>
                <c:pt idx="8">
                  <c:v>12.1</c:v>
                </c:pt>
                <c:pt idx="9">
                  <c:v>12.2</c:v>
                </c:pt>
                <c:pt idx="10">
                  <c:v>12.6</c:v>
                </c:pt>
                <c:pt idx="11">
                  <c:v>12.8</c:v>
                </c:pt>
                <c:pt idx="12">
                  <c:v>13.5</c:v>
                </c:pt>
                <c:pt idx="13">
                  <c:v>13.5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220281856"/>
        <c:axId val="289339008"/>
      </c:barChart>
      <c:catAx>
        <c:axId val="2202818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89339008"/>
        <c:crosses val="autoZero"/>
        <c:auto val="1"/>
        <c:lblAlgn val="ctr"/>
        <c:lblOffset val="100"/>
        <c:noMultiLvlLbl val="0"/>
      </c:catAx>
      <c:valAx>
        <c:axId val="289339008"/>
        <c:scaling>
          <c:orientation val="minMax"/>
          <c:max val="15"/>
          <c:min val="7"/>
        </c:scaling>
        <c:delete val="1"/>
        <c:axPos val="l"/>
        <c:numFmt formatCode="#,##0" sourceLinked="0"/>
        <c:majorTickMark val="out"/>
        <c:minorTickMark val="none"/>
        <c:tickLblPos val="nextTo"/>
        <c:crossAx val="220281856"/>
        <c:crosses val="autoZero"/>
        <c:crossBetween val="between"/>
        <c:majorUnit val="3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умерших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24512515540640703"/>
          <c:y val="2.977327834020747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2342804975465E-2"/>
          <c:y val="0.11508311461067368"/>
          <c:w val="0.83605317813534175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Зарегистрировано умерших,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12 710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11 336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11 904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1200</c:v>
                </c:pt>
                <c:pt idx="1">
                  <c:v>1000</c:v>
                </c:pt>
                <c:pt idx="2">
                  <c:v>1100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21363200"/>
        <c:axId val="296182336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91935639773074E-2"/>
                  <c:y val="-6.826749134909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1800</c:v>
                </c:pt>
                <c:pt idx="1">
                  <c:v>2100</c:v>
                </c:pt>
                <c:pt idx="2">
                  <c:v>2300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9409920"/>
        <c:axId val="296182912"/>
      </c:lineChart>
      <c:catAx>
        <c:axId val="22136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6182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6182336"/>
        <c:scaling>
          <c:orientation val="minMax"/>
          <c:max val="3000"/>
          <c:min val="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21363200"/>
        <c:crosses val="autoZero"/>
        <c:crossBetween val="between"/>
      </c:valAx>
      <c:catAx>
        <c:axId val="299409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6182912"/>
        <c:crosses val="autoZero"/>
        <c:auto val="1"/>
        <c:lblAlgn val="ctr"/>
        <c:lblOffset val="100"/>
        <c:noMultiLvlLbl val="0"/>
      </c:catAx>
      <c:valAx>
        <c:axId val="296182912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99409920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/>
            </a:pPr>
            <a:r>
              <a:rPr lang="ru-RU" sz="1100" b="0">
                <a:latin typeface="Times New Roman" panose="02020603050405020304" pitchFamily="18" charset="0"/>
                <a:cs typeface="Times New Roman" panose="02020603050405020304" pitchFamily="18" charset="0"/>
              </a:rPr>
              <a:t>Естественный прирост, убыль (-) населения на 1000 человек в 2024 году,  </a:t>
            </a:r>
            <a:r>
              <a:rPr lang="ru-RU" sz="110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промилле</a:t>
            </a:r>
            <a:r>
              <a:rPr lang="ru-RU" sz="1100" b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layout>
        <c:manualLayout>
          <c:xMode val="edge"/>
          <c:yMode val="edge"/>
          <c:x val="0.1303137254901960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3.4660954145437704E-2"/>
          <c:y val="0.44395561918396564"/>
          <c:w val="0.92911239771499154"/>
          <c:h val="0.55604438081603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numFmt formatCode="0.0" sourceLinked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1000" b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numFmt formatCode="0.0" sourceLinked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1000" b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7.1894594304112904E-17"/>
                  <c:y val="1.4975211431904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1894594304112904E-17"/>
                  <c:y val="1.2428186060075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3.9215686274509803E-3"/>
                  <c:y val="-1.38743073782460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solidFill>
                <a:schemeClr val="accent6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Краснодар</c:v>
                </c:pt>
                <c:pt idx="1">
                  <c:v>Казань </c:v>
                </c:pt>
                <c:pt idx="2">
                  <c:v>Екатеринбург </c:v>
                </c:pt>
                <c:pt idx="3">
                  <c:v>Красноярск</c:v>
                </c:pt>
                <c:pt idx="4">
                  <c:v>Уфа</c:v>
                </c:pt>
                <c:pt idx="5">
                  <c:v>Челябинск</c:v>
                </c:pt>
                <c:pt idx="6">
                  <c:v>Ростов-на-Дону</c:v>
                </c:pt>
                <c:pt idx="7">
                  <c:v>Новосибирск</c:v>
                </c:pt>
                <c:pt idx="8">
                  <c:v>Пермь</c:v>
                </c:pt>
                <c:pt idx="9">
                  <c:v>Омск</c:v>
                </c:pt>
                <c:pt idx="10">
                  <c:v>Воронеж </c:v>
                </c:pt>
                <c:pt idx="11">
                  <c:v>Волгоград</c:v>
                </c:pt>
                <c:pt idx="12">
                  <c:v>Самара</c:v>
                </c:pt>
                <c:pt idx="13">
                  <c:v>Н. Новгород</c:v>
                </c:pt>
              </c:strCache>
            </c:strRef>
          </c:cat>
          <c:val>
            <c:numRef>
              <c:f>Лист1!$B$2:$B$15</c:f>
              <c:numCache>
                <c:formatCode>_-* #,##0.0\ _₽_-;\-* #,##0.0\ _₽_-;_-* "-"??\ _₽_-;_-@_-</c:formatCode>
                <c:ptCount val="14"/>
                <c:pt idx="0">
                  <c:v>1.3</c:v>
                </c:pt>
                <c:pt idx="1">
                  <c:v>1E-3</c:v>
                </c:pt>
                <c:pt idx="2">
                  <c:v>-0.7</c:v>
                </c:pt>
                <c:pt idx="3">
                  <c:v>-1.3</c:v>
                </c:pt>
                <c:pt idx="4">
                  <c:v>-1.9</c:v>
                </c:pt>
                <c:pt idx="5">
                  <c:v>-2.2000000000000002</c:v>
                </c:pt>
                <c:pt idx="6">
                  <c:v>-2.7</c:v>
                </c:pt>
                <c:pt idx="7">
                  <c:v>-2.8</c:v>
                </c:pt>
                <c:pt idx="8">
                  <c:v>-3.4</c:v>
                </c:pt>
                <c:pt idx="9">
                  <c:v>-5.0999999999999996</c:v>
                </c:pt>
                <c:pt idx="10">
                  <c:v>-5.0999999999999996</c:v>
                </c:pt>
                <c:pt idx="11">
                  <c:v>-5.3</c:v>
                </c:pt>
                <c:pt idx="12">
                  <c:v>-5.5</c:v>
                </c:pt>
                <c:pt idx="13">
                  <c:v>-5.7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221360640"/>
        <c:axId val="296184640"/>
      </c:barChart>
      <c:catAx>
        <c:axId val="221360640"/>
        <c:scaling>
          <c:orientation val="minMax"/>
        </c:scaling>
        <c:delete val="0"/>
        <c:axPos val="b"/>
        <c:majorTickMark val="in"/>
        <c:minorTickMark val="none"/>
        <c:tickLblPos val="high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6184640"/>
        <c:crosses val="autoZero"/>
        <c:auto val="1"/>
        <c:lblAlgn val="ctr"/>
        <c:lblOffset val="100"/>
        <c:noMultiLvlLbl val="0"/>
      </c:catAx>
      <c:valAx>
        <c:axId val="296184640"/>
        <c:scaling>
          <c:orientation val="minMax"/>
          <c:max val="2"/>
          <c:min val="-8"/>
        </c:scaling>
        <c:delete val="1"/>
        <c:axPos val="l"/>
        <c:numFmt formatCode="#,##0" sourceLinked="0"/>
        <c:majorTickMark val="out"/>
        <c:minorTickMark val="none"/>
        <c:tickLblPos val="nextTo"/>
        <c:crossAx val="221360640"/>
        <c:crosses val="autoZero"/>
        <c:crossBetween val="between"/>
        <c:majorUnit val="2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 b="0" i="0" baseline="0">
                <a:effectLst/>
              </a:rPr>
              <a:t>Динамика естественной убыли населения в г. Красноярске</a:t>
            </a:r>
            <a:endParaRPr lang="ru-RU" sz="1050">
              <a:effectLst/>
            </a:endParaRPr>
          </a:p>
        </c:rich>
      </c:tx>
      <c:layout>
        <c:manualLayout>
          <c:xMode val="edge"/>
          <c:yMode val="edge"/>
          <c:x val="0.11463768115942027"/>
          <c:y val="2.985096428163871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3915554034006615E-2"/>
          <c:y val="0.11508311461067368"/>
          <c:w val="0.82737190459888166"/>
          <c:h val="0.59083114610673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Естественная убыль населения, чел.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-1 877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8327605956471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-680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-1 501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8327605956471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66863905325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5779092702169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623576027736501E-3"/>
                  <c:y val="2.3668639053254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832391713747645E-3"/>
                  <c:y val="3.3311182922943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Лист5!$B$5:$B$7</c:f>
              <c:numCache>
                <c:formatCode>#,##0</c:formatCode>
                <c:ptCount val="3"/>
                <c:pt idx="0">
                  <c:v>-2200</c:v>
                </c:pt>
                <c:pt idx="1">
                  <c:v>-1000</c:v>
                </c:pt>
                <c:pt idx="2">
                  <c:v>-1900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overlap val="27"/>
        <c:axId val="299410432"/>
        <c:axId val="296186368"/>
      </c:barChart>
      <c:lineChart>
        <c:grouping val="standard"/>
        <c:varyColors val="0"/>
        <c:ser>
          <c:idx val="0"/>
          <c:order val="1"/>
          <c:tx>
            <c:strRef>
              <c:f>Лист5!$C$4</c:f>
              <c:strCache>
                <c:ptCount val="1"/>
                <c:pt idx="0">
                  <c:v>Место в рейтинге среди городов-миллиоников</c:v>
                </c:pt>
              </c:strCache>
            </c:strRef>
          </c:tx>
          <c:spPr>
            <a:ln w="22225"/>
          </c:spPr>
          <c:marker>
            <c:spPr>
              <a:ln w="25400"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8513522766175864E-2"/>
                  <c:y val="-6.826746656667916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 место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 место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42387418108219E-2"/>
                  <c:y val="-7.7800304902007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2000</c:v>
                </c:pt>
                <c:pt idx="1">
                  <c:v>2300</c:v>
                </c:pt>
                <c:pt idx="2">
                  <c:v>2300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9412480"/>
        <c:axId val="296186944"/>
      </c:lineChart>
      <c:catAx>
        <c:axId val="29941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66">
            <a:solidFill>
              <a:schemeClr val="bg1">
                <a:lumMod val="6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6186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6186368"/>
        <c:scaling>
          <c:orientation val="minMax"/>
          <c:max val="3000"/>
          <c:min val="-300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99410432"/>
        <c:crosses val="autoZero"/>
        <c:crossBetween val="between"/>
      </c:valAx>
      <c:catAx>
        <c:axId val="299412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6186944"/>
        <c:crosses val="autoZero"/>
        <c:auto val="1"/>
        <c:lblAlgn val="ctr"/>
        <c:lblOffset val="100"/>
        <c:noMultiLvlLbl val="0"/>
      </c:catAx>
      <c:valAx>
        <c:axId val="296186944"/>
        <c:scaling>
          <c:orientation val="minMax"/>
          <c:max val="3000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ln w="3166">
            <a:noFill/>
            <a:prstDash val="solid"/>
          </a:ln>
        </c:spPr>
        <c:txPr>
          <a:bodyPr rot="0" vert="horz"/>
          <a:lstStyle/>
          <a:p>
            <a:pPr>
              <a:defRPr sz="900" i="1">
                <a:solidFill>
                  <a:schemeClr val="bg1"/>
                </a:solidFill>
              </a:defRPr>
            </a:pPr>
            <a:endParaRPr lang="ru-RU"/>
          </a:p>
        </c:txPr>
        <c:crossAx val="299412480"/>
        <c:crosses val="max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7.5436037886568524E-2"/>
          <c:y val="0.84898287714035747"/>
          <c:w val="0.90748594984948916"/>
          <c:h val="0.1475349755592477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 w="25400">
      <a:noFill/>
      <a:prstDash val="sysDash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Число прибывших на 1000 человек в 2024 году, </a:t>
            </a:r>
            <a:r>
              <a:rPr lang="ru-RU" sz="105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чел.</a:t>
            </a:r>
            <a:r>
              <a:rPr lang="ru-RU" sz="1050" b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layout>
        <c:manualLayout>
          <c:xMode val="edge"/>
          <c:yMode val="edge"/>
          <c:x val="0.25900972672533584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2998822449938997E-2"/>
          <c:y val="0.10447968651805847"/>
          <c:w val="0.93432721200366664"/>
          <c:h val="0.536172907963969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0563110815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3517610085091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380294667817543E-4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531636845631822E-3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609318560184321E-3"/>
                  <c:y val="8.7042073876788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380294667817543E-4"/>
                  <c:y val="-3.426853302235781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8.7038647023486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740841477535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8835971082691887E-3"/>
                  <c:y val="1.305254154288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1760518469197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05631108151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Краснодар</c:v>
                </c:pt>
                <c:pt idx="1">
                  <c:v>Красноярск</c:v>
                </c:pt>
                <c:pt idx="2">
                  <c:v>Уфа</c:v>
                </c:pt>
                <c:pt idx="3">
                  <c:v>Екатеринбург </c:v>
                </c:pt>
                <c:pt idx="4">
                  <c:v>Казань </c:v>
                </c:pt>
                <c:pt idx="5">
                  <c:v>Новосибирск</c:v>
                </c:pt>
                <c:pt idx="6">
                  <c:v>Челябинск</c:v>
                </c:pt>
                <c:pt idx="7">
                  <c:v>Пермь</c:v>
                </c:pt>
                <c:pt idx="8">
                  <c:v>Волгоград</c:v>
                </c:pt>
                <c:pt idx="9">
                  <c:v>Воронеж </c:v>
                </c:pt>
                <c:pt idx="10">
                  <c:v>Самара</c:v>
                </c:pt>
                <c:pt idx="11">
                  <c:v>Омск</c:v>
                </c:pt>
                <c:pt idx="12">
                  <c:v>Н. Новгород</c:v>
                </c:pt>
              </c:strCache>
            </c:strRef>
          </c:cat>
          <c:val>
            <c:numRef>
              <c:f>Лист1!$B$2:$B$14</c:f>
              <c:numCache>
                <c:formatCode>#,##0.0</c:formatCode>
                <c:ptCount val="13"/>
                <c:pt idx="0">
                  <c:v>36</c:v>
                </c:pt>
                <c:pt idx="1">
                  <c:v>35</c:v>
                </c:pt>
                <c:pt idx="2">
                  <c:v>30.4</c:v>
                </c:pt>
                <c:pt idx="3">
                  <c:v>26.6</c:v>
                </c:pt>
                <c:pt idx="4">
                  <c:v>24.5</c:v>
                </c:pt>
                <c:pt idx="5">
                  <c:v>22.9</c:v>
                </c:pt>
                <c:pt idx="6">
                  <c:v>19.5</c:v>
                </c:pt>
                <c:pt idx="7">
                  <c:v>19.3</c:v>
                </c:pt>
                <c:pt idx="8">
                  <c:v>17.8</c:v>
                </c:pt>
                <c:pt idx="9">
                  <c:v>17.600000000000001</c:v>
                </c:pt>
                <c:pt idx="10">
                  <c:v>16.600000000000001</c:v>
                </c:pt>
                <c:pt idx="11">
                  <c:v>15.5</c:v>
                </c:pt>
                <c:pt idx="12">
                  <c:v>13.7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"/>
        <c:axId val="221361664"/>
        <c:axId val="296188672"/>
      </c:barChart>
      <c:catAx>
        <c:axId val="2213616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6188672"/>
        <c:crosses val="autoZero"/>
        <c:auto val="1"/>
        <c:lblAlgn val="ctr"/>
        <c:lblOffset val="100"/>
        <c:noMultiLvlLbl val="0"/>
      </c:catAx>
      <c:valAx>
        <c:axId val="296188672"/>
        <c:scaling>
          <c:orientation val="minMax"/>
          <c:max val="40"/>
          <c:min val="0"/>
        </c:scaling>
        <c:delete val="1"/>
        <c:axPos val="l"/>
        <c:numFmt formatCode="#,##0" sourceLinked="0"/>
        <c:majorTickMark val="out"/>
        <c:minorTickMark val="none"/>
        <c:tickLblPos val="nextTo"/>
        <c:crossAx val="221361664"/>
        <c:crosses val="autoZero"/>
        <c:crossBetween val="between"/>
        <c:majorUnit val="3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0.26201</cdr:x>
      <cdr:y>0.8647</cdr:y>
    </cdr:from>
    <cdr:to>
      <cdr:x>0.7016</cdr:x>
      <cdr:y>0.97755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14499" y="2396751"/>
          <a:ext cx="2876551" cy="3128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    </a:t>
          </a:r>
          <a:r>
            <a:rPr lang="ru-RU" sz="110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Г</a:t>
          </a:r>
          <a:r>
            <a:rPr lang="ru-RU" sz="120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орода СФО</a:t>
          </a:r>
          <a:r>
            <a:rPr lang="ru-RU" sz="1200" baseline="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                 Красноярск</a:t>
          </a:r>
          <a:endParaRPr lang="ru-RU" sz="1200">
            <a:solidFill>
              <a:schemeClr val="tx1">
                <a:lumMod val="75000"/>
                <a:lumOff val="2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0.27656</cdr:x>
      <cdr:y>0.89167</cdr:y>
    </cdr:from>
    <cdr:to>
      <cdr:x>0.29549</cdr:x>
      <cdr:y>0.9375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809749" y="2174252"/>
          <a:ext cx="123825" cy="111747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 w="9525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0.53324</cdr:x>
      <cdr:y>0.89688</cdr:y>
    </cdr:from>
    <cdr:to>
      <cdr:x>0.55216</cdr:x>
      <cdr:y>0.94271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489324" y="2186952"/>
          <a:ext cx="123825" cy="111747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 w="9525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0.27295</cdr:x>
      <cdr:y>0.87684</cdr:y>
    </cdr:from>
    <cdr:to>
      <cdr:x>0.71772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65308" y="1920433"/>
          <a:ext cx="2876534" cy="244001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5DF12CBB84C14D8594E9F46B40DB71" ma:contentTypeVersion="1" ma:contentTypeDescription="Создание документа." ma:contentTypeScope="" ma:versionID="2902f095ed4b9f96adc73a605233259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44A45A3-D2F4-4A47-8487-2358067175EA}"/>
</file>

<file path=customXml/itemProps2.xml><?xml version="1.0" encoding="utf-8"?>
<ds:datastoreItem xmlns:ds="http://schemas.openxmlformats.org/officeDocument/2006/customXml" ds:itemID="{1DE0CB86-43B8-42BB-9C2C-CC11890231B0}"/>
</file>

<file path=customXml/itemProps3.xml><?xml version="1.0" encoding="utf-8"?>
<ds:datastoreItem xmlns:ds="http://schemas.openxmlformats.org/officeDocument/2006/customXml" ds:itemID="{882CBBBE-CD52-4041-AB72-75A8183AF8E2}"/>
</file>

<file path=customXml/itemProps4.xml><?xml version="1.0" encoding="utf-8"?>
<ds:datastoreItem xmlns:ds="http://schemas.openxmlformats.org/officeDocument/2006/customXml" ds:itemID="{BBE650D0-3432-4E5E-8337-CBFE512CDD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Самойлова Дарья Игоревна</dc:creator>
  <cp:lastModifiedBy>Маскина Татьяна Александровна</cp:lastModifiedBy>
  <cp:revision>12</cp:revision>
  <cp:lastPrinted>2026-04-02T03:14:00Z</cp:lastPrinted>
  <dcterms:created xsi:type="dcterms:W3CDTF">2026-04-01T02:23:00Z</dcterms:created>
  <dcterms:modified xsi:type="dcterms:W3CDTF">2026-04-02T03:16:00Z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0x010100D25DF12CBB84C14D8594E9F46B40DB71</vt:lpwstr>
  </property>
</Properties>
</file>