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emf" ContentType="image/x-emf"/>
  <Default Extension="wmf" ContentType="image/x-wmf"/>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Постановление администрации г. Красноярска от 14.11.2022 N 987</w:t>
              <w:br/>
              <w:t xml:space="preserve">(ред. от 17.06.2026)</w:t>
              <w:br/>
              <w:t xml:space="preserve">"О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br/>
              <w:t xml:space="preserve">(вместе с "Положением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07.07.2026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КРАСНОЯРСКА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14 ноября 2022 г. N 987</w:t>
      </w:r>
    </w:p>
    <w:p>
      <w:pPr>
        <w:pStyle w:val="2"/>
        <w:jc w:val="center"/>
      </w:pPr>
      <w:r>
        <w:rPr>
          <w:sz w:val="20"/>
        </w:rPr>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 ПРОИЗВОДИТЕЛЯМ ТОВАРОВ,</w:t>
      </w:r>
    </w:p>
    <w:p>
      <w:pPr>
        <w:pStyle w:val="2"/>
        <w:jc w:val="center"/>
      </w:pPr>
      <w:r>
        <w:rPr>
          <w:sz w:val="20"/>
        </w:rPr>
        <w:t xml:space="preserve">РАБОТ, 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ПРОИЗВОДСТВА, СВЯЗАННЫХ С СОЗДАНИЕМ НОВОГО ИЛИ РАЗВИТИЕМ</w:t>
      </w:r>
    </w:p>
    <w:p>
      <w:pPr>
        <w:pStyle w:val="2"/>
        <w:jc w:val="center"/>
      </w:pPr>
      <w:r>
        <w:rPr>
          <w:sz w:val="20"/>
        </w:rPr>
        <w:t xml:space="preserve">(МОДЕРНИЗАЦИЕЙ) ДЕЙСТВУЮЩЕГО ПРОИЗВОДСТВА ТОВАРОВ</w:t>
      </w:r>
    </w:p>
    <w:p>
      <w:pPr>
        <w:pStyle w:val="2"/>
        <w:jc w:val="center"/>
      </w:pPr>
      <w:r>
        <w:rPr>
          <w:sz w:val="20"/>
        </w:rPr>
        <w:t xml:space="preserve">(РАБОТ,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14.11.2022 </w:t>
            </w:r>
            <w:hyperlink w:history="0" w:anchor="P30" w:tooltip="3) подпункт 8 пункта 23 Положения действует до 01.01.2023.">
              <w:r>
                <w:rPr>
                  <w:sz w:val="20"/>
                  <w:color w:val="0000ff"/>
                </w:rPr>
                <w:t xml:space="preserve">N 987</w:t>
              </w:r>
            </w:hyperlink>
            <w:r>
              <w:rPr>
                <w:sz w:val="20"/>
                <w:color w:val="392c69"/>
              </w:rPr>
              <w:t xml:space="preserve">,</w:t>
            </w:r>
          </w:p>
          <w:p>
            <w:pPr>
              <w:pStyle w:val="0"/>
              <w:jc w:val="center"/>
            </w:pPr>
            <w:r>
              <w:rPr>
                <w:sz w:val="20"/>
                <w:color w:val="392c69"/>
              </w:rPr>
              <w:t xml:space="preserve">от 22.05.2023 </w:t>
            </w:r>
            <w:hyperlink w:history="0" r:id="rId8" w:tooltip="Постановление администрации г. Красноярска от 22.05.2023 N 336 &quot;О внесении изменений в Постановление администрации города от 14.11.2022 N 987&quot; {КонсультантПлюс}">
              <w:r>
                <w:rPr>
                  <w:sz w:val="20"/>
                  <w:color w:val="0000ff"/>
                </w:rPr>
                <w:t xml:space="preserve">N 336</w:t>
              </w:r>
            </w:hyperlink>
            <w:r>
              <w:rPr>
                <w:sz w:val="20"/>
                <w:color w:val="392c69"/>
              </w:rPr>
              <w:t xml:space="preserve">, от 16.06.2023 </w:t>
            </w:r>
            <w:hyperlink w:history="0" r:id="rId9" w:tooltip="Постановление администрации г. Красноярска от 16.06.2023 N 438 &quot;О внесении изменения в Постановление администрации города от 14.11.2022 N 987&quot; {КонсультантПлюс}">
              <w:r>
                <w:rPr>
                  <w:sz w:val="20"/>
                  <w:color w:val="0000ff"/>
                </w:rPr>
                <w:t xml:space="preserve">N 438</w:t>
              </w:r>
            </w:hyperlink>
            <w:r>
              <w:rPr>
                <w:sz w:val="20"/>
                <w:color w:val="392c69"/>
              </w:rPr>
              <w:t xml:space="preserve">, от 30.07.2024 </w:t>
            </w:r>
            <w:hyperlink w:history="0" r:id="rId10" w:tooltip="Постановление администрации г. Красноярска от 30.07.2024 N 728 &quot;О внесении изменения в Постановление администрации города от 14.11.2022 N 987&quot; {КонсультантПлюс}">
              <w:r>
                <w:rPr>
                  <w:sz w:val="20"/>
                  <w:color w:val="0000ff"/>
                </w:rPr>
                <w:t xml:space="preserve">N 728</w:t>
              </w:r>
            </w:hyperlink>
            <w:r>
              <w:rPr>
                <w:sz w:val="20"/>
                <w:color w:val="392c69"/>
              </w:rPr>
              <w:t xml:space="preserve">,</w:t>
            </w:r>
          </w:p>
          <w:p>
            <w:pPr>
              <w:pStyle w:val="0"/>
              <w:jc w:val="center"/>
            </w:pPr>
            <w:r>
              <w:rPr>
                <w:sz w:val="20"/>
                <w:color w:val="392c69"/>
              </w:rPr>
              <w:t xml:space="preserve">от 15.07.2025 </w:t>
            </w:r>
            <w:hyperlink w:history="0" r:id="rId11"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color w:val="392c69"/>
              </w:rPr>
              <w:t xml:space="preserve">, от 20.08.2025 </w:t>
            </w:r>
            <w:hyperlink w:history="0" r:id="rId12"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 от 17.06.2026 </w:t>
            </w:r>
            <w:hyperlink w:history="0" r:id="rId1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N 532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поддержки и развития малого и среднего предпринимательства на территории города Красноярска, в соответствии с </w:t>
      </w:r>
      <w:hyperlink w:history="0" r:id="rId1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1 статьи 78</w:t>
        </w:r>
      </w:hyperlink>
      <w:r>
        <w:rPr>
          <w:sz w:val="20"/>
        </w:rPr>
        <w:t xml:space="preserve"> Бюджетного кодекса Российской Федерации, Федеральным </w:t>
      </w:r>
      <w:hyperlink w:history="0" r:id="rId1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24.07.2007 N 209-ФЗ "О развитии малого и среднего предпринимательства в Российской Федерации", </w:t>
      </w:r>
      <w:hyperlink w:history="0" r:id="rId16"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0"/>
            <w:color w:val="0000ff"/>
          </w:rPr>
          <w:t xml:space="preserve">постановлением</w:t>
        </w:r>
      </w:hyperlink>
      <w:r>
        <w:rPr>
          <w:sz w:val="20"/>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w:history="0" r:id="rId17"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постановлением</w:t>
        </w:r>
      </w:hyperlink>
      <w:r>
        <w:rPr>
          <w:sz w:val="20"/>
        </w:rPr>
        <w:t xml:space="preserve"> Правительства Красноярского края от 30.09.2013 N 505-п "Об утверждении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 руководствуясь </w:t>
      </w:r>
      <w:hyperlink w:history="0" r:id="rId18"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статьями 41</w:t>
        </w:r>
      </w:hyperlink>
      <w:r>
        <w:rPr>
          <w:sz w:val="20"/>
        </w:rPr>
        <w:t xml:space="preserve">, </w:t>
      </w:r>
      <w:hyperlink w:history="0" r:id="rId19"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58</w:t>
        </w:r>
      </w:hyperlink>
      <w:r>
        <w:rPr>
          <w:sz w:val="20"/>
        </w:rPr>
        <w:t xml:space="preserve">, </w:t>
      </w:r>
      <w:hyperlink w:history="0" r:id="rId20"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59</w:t>
        </w:r>
      </w:hyperlink>
      <w:r>
        <w:rPr>
          <w:sz w:val="20"/>
        </w:rPr>
        <w:t xml:space="preserve"> Устава города Красноярска, постановляю:</w:t>
      </w:r>
    </w:p>
    <w:p>
      <w:pPr>
        <w:pStyle w:val="0"/>
        <w:jc w:val="both"/>
      </w:pPr>
      <w:r>
        <w:rPr>
          <w:sz w:val="20"/>
        </w:rPr>
        <w:t xml:space="preserve">(преамбула в ред. </w:t>
      </w:r>
      <w:hyperlink w:history="0" r:id="rId2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 Утвердить </w:t>
      </w:r>
      <w:hyperlink w:history="0" w:anchor="P45" w:tooltip="ПОЛОЖЕНИЕ">
        <w:r>
          <w:rPr>
            <w:sz w:val="20"/>
            <w:color w:val="0000ff"/>
          </w:rPr>
          <w:t xml:space="preserve">Положение</w:t>
        </w:r>
      </w:hyperlink>
      <w:r>
        <w:rPr>
          <w:sz w:val="20"/>
        </w:rPr>
        <w:t xml:space="preserve">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 согласно приложению.</w:t>
      </w:r>
    </w:p>
    <w:p>
      <w:pPr>
        <w:pStyle w:val="0"/>
        <w:jc w:val="both"/>
      </w:pPr>
      <w:r>
        <w:rPr>
          <w:sz w:val="20"/>
        </w:rPr>
        <w:t xml:space="preserve">(в ред. Постановлений администрации г. Красноярска от 22.05.2023 </w:t>
      </w:r>
      <w:hyperlink w:history="0" r:id="rId22" w:tooltip="Постановление администрации г. Красноярска от 22.05.2023 N 336 &quot;О внесении изменений в Постановление администрации города от 14.11.2022 N 987&quot; {КонсультантПлюс}">
        <w:r>
          <w:rPr>
            <w:sz w:val="20"/>
            <w:color w:val="0000ff"/>
          </w:rPr>
          <w:t xml:space="preserve">N 336</w:t>
        </w:r>
      </w:hyperlink>
      <w:r>
        <w:rPr>
          <w:sz w:val="20"/>
        </w:rPr>
        <w:t xml:space="preserve">, от 15.07.2025 </w:t>
      </w:r>
      <w:hyperlink w:history="0" r:id="rId23"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rPr>
        <w:t xml:space="preserve">)</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1) при предоставлении субсидий, предусмотренных Положением, в соответствии с </w:t>
      </w:r>
      <w:hyperlink w:history="0" r:id="rId24" w:tooltip="Постановление Правительства РФ от 05.04.2022 N 590 (ред. от 21.09.2022) &quo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quot; ------------ Утратил силу или отменен {КонсультантПлюс}">
        <w:r>
          <w:rPr>
            <w:sz w:val="20"/>
            <w:color w:val="0000ff"/>
          </w:rPr>
          <w:t xml:space="preserve">пунктом 2</w:t>
        </w:r>
      </w:hyperlink>
      <w:r>
        <w:rPr>
          <w:sz w:val="20"/>
        </w:rPr>
        <w:t xml:space="preserve"> Постановления Правительства Российской Федерации от 05.04.2022 N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 применяются в 2022 году следующие условия:</w:t>
      </w:r>
    </w:p>
    <w:p>
      <w:pPr>
        <w:pStyle w:val="0"/>
        <w:spacing w:before="200" w:lineRule="auto"/>
        <w:ind w:firstLine="540"/>
        <w:jc w:val="both"/>
      </w:pPr>
      <w:r>
        <w:rPr>
          <w:sz w:val="20"/>
        </w:rPr>
        <w:t xml:space="preserve">срок окончания приема пакетов документов для участия в конкурсе и получения субсидии, установленный </w:t>
      </w:r>
      <w:hyperlink w:history="0" w:anchor="P45" w:tooltip="ПОЛОЖЕНИЕ">
        <w:r>
          <w:rPr>
            <w:sz w:val="20"/>
            <w:color w:val="0000ff"/>
          </w:rPr>
          <w:t xml:space="preserve">подпунктом 1 пункта 14</w:t>
        </w:r>
      </w:hyperlink>
      <w:r>
        <w:rPr>
          <w:sz w:val="20"/>
        </w:rPr>
        <w:t xml:space="preserve"> Положения, может быть сокращен до 10 календарных дней, следующих за днем размещения объявления о проведении конкурса;</w:t>
      </w:r>
    </w:p>
    <w:p>
      <w:pPr>
        <w:pStyle w:val="0"/>
        <w:spacing w:before="200" w:lineRule="auto"/>
        <w:ind w:firstLine="540"/>
        <w:jc w:val="both"/>
      </w:pPr>
      <w:r>
        <w:rPr>
          <w:sz w:val="20"/>
        </w:rPr>
        <w:t xml:space="preserve">у заявителя (получателя субсидии) на дату, установленную </w:t>
      </w:r>
      <w:hyperlink w:history="0" w:anchor="P45" w:tooltip="ПОЛОЖЕНИЕ">
        <w:r>
          <w:rPr>
            <w:sz w:val="20"/>
            <w:color w:val="0000ff"/>
          </w:rPr>
          <w:t xml:space="preserve">абзацем первым пункта 15</w:t>
        </w:r>
      </w:hyperlink>
      <w:r>
        <w:rPr>
          <w:sz w:val="20"/>
        </w:rPr>
        <w:t xml:space="preserve"> Положения,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w:t>
      </w:r>
    </w:p>
    <w:p>
      <w:pPr>
        <w:pStyle w:val="0"/>
        <w:spacing w:before="200" w:lineRule="auto"/>
        <w:ind w:firstLine="540"/>
        <w:jc w:val="both"/>
      </w:pPr>
      <w:r>
        <w:rPr>
          <w:sz w:val="20"/>
        </w:rPr>
        <w:t xml:space="preserve">заявитель (получатель субсидии)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0"/>
        <w:spacing w:before="200" w:lineRule="auto"/>
        <w:ind w:firstLine="540"/>
        <w:jc w:val="both"/>
      </w:pPr>
      <w:r>
        <w:rPr>
          <w:sz w:val="20"/>
        </w:rPr>
        <w:t xml:space="preserve">в случае возникновения обстоятельств, приводящих к невозможности достижения получателем субсидии значений результатов предоставления субсидии, в целях достижения которых предоставляется субсидия (далее - результат предоставления субсидии), в сроки, определенные в договоре о предоставлении субсидии,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(далее - главный распорядитель как получатель бюджетных средств), по согласованию с получателем субсидии вправе принять решение о внесении изменений в договор о предоставлении субсидии в части продления сроков достижения результатов предоставления субсидии (но не более чем на 24 месяца) без изменения размера субсидии. В случае невозможности достижения результата предоставления субсидии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w:t>
      </w:r>
    </w:p>
    <w:p>
      <w:pPr>
        <w:pStyle w:val="0"/>
        <w:spacing w:before="200" w:lineRule="auto"/>
        <w:ind w:firstLine="540"/>
        <w:jc w:val="both"/>
      </w:pPr>
      <w:r>
        <w:rPr>
          <w:sz w:val="20"/>
        </w:rPr>
        <w:t xml:space="preserve">Решение о внесении изменений в договор о предоставлении субсидии в части продления сроков достижения результатов предоставления субсидии (но не более чем на 24 месяца) без изменения размера субсидии, а также решение об уменьшении значения результата предоставления субсидии принимается и оформляется дополнительным соглашением к договору о предоставлении субсидии, подписанным не позднее 31.12.2022;</w:t>
      </w:r>
    </w:p>
    <w:p>
      <w:pPr>
        <w:pStyle w:val="0"/>
        <w:spacing w:before="200" w:lineRule="auto"/>
        <w:ind w:firstLine="540"/>
        <w:jc w:val="both"/>
      </w:pPr>
      <w:r>
        <w:rPr>
          <w:sz w:val="20"/>
        </w:rPr>
        <w:t xml:space="preserve">2) действие </w:t>
      </w:r>
      <w:hyperlink w:history="0" w:anchor="P45" w:tooltip="ПОЛОЖЕНИЕ">
        <w:r>
          <w:rPr>
            <w:sz w:val="20"/>
            <w:color w:val="0000ff"/>
          </w:rPr>
          <w:t xml:space="preserve">подпункта 2 пункта 15</w:t>
        </w:r>
      </w:hyperlink>
      <w:r>
        <w:rPr>
          <w:sz w:val="20"/>
        </w:rPr>
        <w:t xml:space="preserve"> Положения приостановлено до 01.01.2023;</w:t>
      </w:r>
    </w:p>
    <w:bookmarkStart w:id="30" w:name="P30"/>
    <w:bookmarkEnd w:id="30"/>
    <w:p>
      <w:pPr>
        <w:pStyle w:val="0"/>
        <w:spacing w:before="200" w:lineRule="auto"/>
        <w:ind w:firstLine="540"/>
        <w:jc w:val="both"/>
      </w:pPr>
      <w:r>
        <w:rPr>
          <w:sz w:val="20"/>
        </w:rPr>
        <w:t xml:space="preserve">3) </w:t>
      </w:r>
      <w:hyperlink w:history="0" w:anchor="P45" w:tooltip="ПОЛОЖЕНИЕ">
        <w:r>
          <w:rPr>
            <w:sz w:val="20"/>
            <w:color w:val="0000ff"/>
          </w:rPr>
          <w:t xml:space="preserve">подпункт 8 пункта 23</w:t>
        </w:r>
      </w:hyperlink>
      <w:r>
        <w:rPr>
          <w:sz w:val="20"/>
        </w:rPr>
        <w:t xml:space="preserve"> Положения действует до 01.01.2023.</w:t>
      </w:r>
    </w:p>
    <w:p>
      <w:pPr>
        <w:pStyle w:val="0"/>
        <w:spacing w:before="200" w:lineRule="auto"/>
        <w:ind w:firstLine="540"/>
        <w:jc w:val="both"/>
      </w:pPr>
      <w:r>
        <w:rPr>
          <w:sz w:val="20"/>
        </w:rPr>
        <w:t xml:space="preserve">3. Настоящее Постановление опубликовать в газете "Городские новости" и разместить на официальном сайте администрации города.</w:t>
      </w:r>
    </w:p>
    <w:p>
      <w:pPr>
        <w:pStyle w:val="0"/>
        <w:ind w:firstLine="540"/>
        <w:jc w:val="both"/>
      </w:pPr>
      <w:r>
        <w:rPr>
          <w:sz w:val="20"/>
        </w:rPr>
      </w:r>
    </w:p>
    <w:p>
      <w:pPr>
        <w:pStyle w:val="0"/>
        <w:jc w:val="right"/>
      </w:pPr>
      <w:r>
        <w:rPr>
          <w:sz w:val="20"/>
        </w:rPr>
        <w:t xml:space="preserve">Глава города</w:t>
      </w:r>
    </w:p>
    <w:p>
      <w:pPr>
        <w:pStyle w:val="0"/>
        <w:jc w:val="right"/>
      </w:pPr>
      <w:r>
        <w:rPr>
          <w:sz w:val="20"/>
        </w:rPr>
        <w:t xml:space="preserve">В.А.ЛОГИНОВ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14 ноября 2022 г. N 987</w:t>
      </w:r>
    </w:p>
    <w:p>
      <w:pPr>
        <w:pStyle w:val="0"/>
        <w:ind w:firstLine="540"/>
        <w:jc w:val="both"/>
      </w:pPr>
      <w:r>
        <w:rPr>
          <w:sz w:val="20"/>
        </w:rPr>
      </w:r>
    </w:p>
    <w:bookmarkStart w:id="45" w:name="P45"/>
    <w:bookmarkEnd w:id="45"/>
    <w:p>
      <w:pPr>
        <w:pStyle w:val="2"/>
        <w:jc w:val="center"/>
      </w:pPr>
      <w:r>
        <w:rPr>
          <w:sz w:val="20"/>
        </w:rPr>
        <w:t xml:space="preserve">ПОЛОЖЕНИЕ</w:t>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 ПРОИЗВОДИТЕЛЯМ ТОВАРОВ,</w:t>
      </w:r>
    </w:p>
    <w:p>
      <w:pPr>
        <w:pStyle w:val="2"/>
        <w:jc w:val="center"/>
      </w:pPr>
      <w:r>
        <w:rPr>
          <w:sz w:val="20"/>
        </w:rPr>
        <w:t xml:space="preserve">РАБОТ, 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ПРОИЗВОДСТВА, СВЯЗАННЫХ С СОЗДАНИЕМ НОВОГО ИЛИ РАЗВИТИЕМ</w:t>
      </w:r>
    </w:p>
    <w:p>
      <w:pPr>
        <w:pStyle w:val="2"/>
        <w:jc w:val="center"/>
      </w:pPr>
      <w:r>
        <w:rPr>
          <w:sz w:val="20"/>
        </w:rPr>
        <w:t xml:space="preserve">(МОДЕРНИЗАЦИЕЙ) ДЕЙСТВУЮЩЕГО ПРОИЗВОДСТВА ТОВАРОВ</w:t>
      </w:r>
    </w:p>
    <w:p>
      <w:pPr>
        <w:pStyle w:val="2"/>
        <w:jc w:val="center"/>
      </w:pPr>
      <w:r>
        <w:rPr>
          <w:sz w:val="20"/>
        </w:rPr>
        <w:t xml:space="preserve">(РАБОТ,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15.07.2025 </w:t>
            </w:r>
            <w:hyperlink w:history="0" r:id="rId25"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color w:val="392c69"/>
              </w:rPr>
              <w:t xml:space="preserve">,</w:t>
            </w:r>
          </w:p>
          <w:p>
            <w:pPr>
              <w:pStyle w:val="0"/>
              <w:jc w:val="center"/>
            </w:pPr>
            <w:r>
              <w:rPr>
                <w:sz w:val="20"/>
                <w:color w:val="392c69"/>
              </w:rPr>
              <w:t xml:space="preserve">от 20.08.2025 </w:t>
            </w:r>
            <w:hyperlink w:history="0" r:id="rId26"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 от 17.06.2026 </w:t>
            </w:r>
            <w:hyperlink w:history="0" r:id="rId2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N 532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критерии отбора получателей субсидий - субъектов малого и среднего предпринимательства - производителей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 субсидия); размер затрат, подлежащих возмещению; условия, порядок предоставления субсидии, а также результаты предоставления субсидии; порядок возврата субсидии в бюджет городского округа город Красноярск Красноярского края (далее - бюджет города) в случае нарушения условий, установленных при предоставлении субсидии; положения об осуществлении в отношении получателей субсидии проверок главным распорядителем (распорядителем) бюджетных средств, предоставляющим субсидию, соблюдения ими порядка и условий предоставления субсидии, в том числе в части достижения результатов предоставления субсидии, а также проверок органами муниципального финансового контроля в соответствии со </w:t>
      </w:r>
      <w:hyperlink w:history="0" r:id="rId2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w:t>
      </w:r>
      <w:hyperlink w:history="0" r:id="rId2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jc w:val="both"/>
      </w:pPr>
      <w:r>
        <w:rPr>
          <w:sz w:val="20"/>
        </w:rPr>
        <w:t xml:space="preserve">(в ред. </w:t>
      </w:r>
      <w:hyperlink w:history="0" r:id="rId3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Предоставление субсидии является видом финансовой поддержки субъектов малого и среднего предпринимательства, осуществляется для создания благоприятных условий их деятельности и направлено на достижение целей регионального проекта "Малое и среднее предпринимательство и поддержка индивидуальной предпринимательской инициативы" и федерального проекта с аналогичным наименованием, входящего в состав национального проекта "Эффективная и конкурентная экономика" вне целевых статей бюджетной классификации, относящихся к национальным проектам, а также направлено на достижение целей государственной </w:t>
      </w:r>
      <w:hyperlink w:history="0" r:id="rId31"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программы</w:t>
        </w:r>
      </w:hyperlink>
      <w:r>
        <w:rPr>
          <w:sz w:val="20"/>
        </w:rPr>
        <w:t xml:space="preserve"> "Развитие промышленности, энергетики, малого и среднего предпринимательства и инновационной деятельности", утвержденной Постановлением Правительства Красноярского края от 30.09.2013 N 505-п.</w:t>
      </w:r>
    </w:p>
    <w:bookmarkStart w:id="62" w:name="P62"/>
    <w:bookmarkEnd w:id="62"/>
    <w:p>
      <w:pPr>
        <w:pStyle w:val="0"/>
        <w:spacing w:before="200" w:lineRule="auto"/>
        <w:ind w:firstLine="540"/>
        <w:jc w:val="both"/>
      </w:pPr>
      <w:r>
        <w:rPr>
          <w:sz w:val="20"/>
        </w:rPr>
        <w:t xml:space="preserve">Цель предоставления субсидии - возмещение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2. Для целей настоящего Положения применяются следующие понятия:</w:t>
      </w:r>
    </w:p>
    <w:p>
      <w:pPr>
        <w:pStyle w:val="0"/>
        <w:spacing w:before="200" w:lineRule="auto"/>
        <w:ind w:firstLine="540"/>
        <w:jc w:val="both"/>
      </w:pPr>
      <w:r>
        <w:rPr>
          <w:sz w:val="20"/>
        </w:rPr>
        <w:t xml:space="preserve">1) субъекты малого и среднего предпринимательства понимаются в том значении, в котором они используются в Федеральном </w:t>
      </w:r>
      <w:hyperlink w:history="0" r:id="rId32"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законе</w:t>
        </w:r>
      </w:hyperlink>
      <w:r>
        <w:rPr>
          <w:sz w:val="20"/>
        </w:rPr>
        <w:t xml:space="preserve"> от 24.07.2007 N 209-ФЗ "О развитии малого и среднего предпринимательства в Российской Федерации" (далее - Федеральный закон N 209-ФЗ);</w:t>
      </w:r>
    </w:p>
    <w:p>
      <w:pPr>
        <w:pStyle w:val="0"/>
        <w:spacing w:before="200" w:lineRule="auto"/>
        <w:ind w:firstLine="540"/>
        <w:jc w:val="both"/>
      </w:pPr>
      <w:r>
        <w:rPr>
          <w:sz w:val="20"/>
        </w:rPr>
        <w:t xml:space="preserve">2) 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pPr>
        <w:pStyle w:val="0"/>
        <w:spacing w:before="200" w:lineRule="auto"/>
        <w:ind w:firstLine="540"/>
        <w:jc w:val="both"/>
      </w:pPr>
      <w:r>
        <w:rPr>
          <w:sz w:val="20"/>
        </w:rPr>
        <w:t xml:space="preserve">3) уполномоченный орган - департамент экономической политики и инвестиционного развития администрации города Красноярска;</w:t>
      </w:r>
    </w:p>
    <w:p>
      <w:pPr>
        <w:pStyle w:val="0"/>
        <w:spacing w:before="200" w:lineRule="auto"/>
        <w:ind w:firstLine="540"/>
        <w:jc w:val="both"/>
      </w:pPr>
      <w:r>
        <w:rPr>
          <w:sz w:val="20"/>
        </w:rPr>
        <w:t xml:space="preserve">4) приоритетные отрасли - виды предпринимательской деятельности в соответствии с Общероссийским </w:t>
      </w:r>
      <w:hyperlink w:history="0" r:id="rId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классификатором</w:t>
        </w:r>
      </w:hyperlink>
      <w:r>
        <w:rPr>
          <w:sz w:val="20"/>
        </w:rPr>
        <w:t xml:space="preserve"> видов экономической деятельности ОК 029-2014, утвержденным Приказом Федерального агентства по техническому регулированию и метрологии от 31.01.2014 N 14-ст (далее - ОКВЭД), за исключением видов деятельности, включенных в </w:t>
      </w:r>
      <w:hyperlink w:history="0" r:id="rId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 12 раздела C</w:t>
        </w:r>
      </w:hyperlink>
      <w:r>
        <w:rPr>
          <w:sz w:val="20"/>
        </w:rPr>
        <w:t xml:space="preserve">, </w:t>
      </w:r>
      <w:hyperlink w:history="0" r:id="rId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 92 раздела R</w:t>
        </w:r>
      </w:hyperlink>
      <w:r>
        <w:rPr>
          <w:sz w:val="20"/>
        </w:rPr>
        <w:t xml:space="preserve">, </w:t>
      </w:r>
      <w:hyperlink w:history="0" r:id="rId3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разделы A</w:t>
        </w:r>
      </w:hyperlink>
      <w:r>
        <w:rPr>
          <w:sz w:val="20"/>
        </w:rPr>
        <w:t xml:space="preserve"> (кроме </w:t>
      </w:r>
      <w:hyperlink w:history="0" r:id="rId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классов 02</w:t>
        </w:r>
      </w:hyperlink>
      <w:r>
        <w:rPr>
          <w:sz w:val="20"/>
        </w:rPr>
        <w:t xml:space="preserve">, </w:t>
      </w:r>
      <w:hyperlink w:history="0" r:id="rId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03</w:t>
        </w:r>
      </w:hyperlink>
      <w:r>
        <w:rPr>
          <w:sz w:val="20"/>
        </w:rPr>
        <w:t xml:space="preserve">), </w:t>
      </w:r>
      <w:hyperlink w:history="0" r:id="rId3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B</w:t>
        </w:r>
      </w:hyperlink>
      <w:r>
        <w:rPr>
          <w:sz w:val="20"/>
        </w:rPr>
        <w:t xml:space="preserve">, </w:t>
      </w:r>
      <w:hyperlink w:history="0" r:id="rId4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D</w:t>
        </w:r>
      </w:hyperlink>
      <w:r>
        <w:rPr>
          <w:sz w:val="20"/>
        </w:rPr>
        <w:t xml:space="preserve">, </w:t>
      </w:r>
      <w:hyperlink w:history="0" r:id="rId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E</w:t>
        </w:r>
      </w:hyperlink>
      <w:r>
        <w:rPr>
          <w:sz w:val="20"/>
        </w:rPr>
        <w:t xml:space="preserve"> (кроме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классов 38</w:t>
        </w:r>
      </w:hyperlink>
      <w:r>
        <w:rPr>
          <w:sz w:val="20"/>
        </w:rPr>
        <w:t xml:space="preserve">, </w:t>
      </w:r>
      <w:hyperlink w:history="0" r:id="rId4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39</w:t>
        </w:r>
      </w:hyperlink>
      <w:r>
        <w:rPr>
          <w:sz w:val="20"/>
        </w:rPr>
        <w:t xml:space="preserve">),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G</w:t>
        </w:r>
      </w:hyperlink>
      <w:r>
        <w:rPr>
          <w:sz w:val="20"/>
        </w:rPr>
        <w:t xml:space="preserve">, </w:t>
      </w:r>
      <w:hyperlink w:history="0" r:id="rId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K</w:t>
        </w:r>
      </w:hyperlink>
      <w:r>
        <w:rPr>
          <w:sz w:val="20"/>
        </w:rPr>
        <w:t xml:space="preserve">, </w:t>
      </w:r>
      <w:hyperlink w:history="0" r:id="rId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L</w:t>
        </w:r>
      </w:hyperlink>
      <w:r>
        <w:rPr>
          <w:sz w:val="20"/>
        </w:rPr>
        <w:t xml:space="preserve">, </w:t>
      </w:r>
      <w:hyperlink w:history="0" r:id="rId4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M</w:t>
        </w:r>
      </w:hyperlink>
      <w:r>
        <w:rPr>
          <w:sz w:val="20"/>
        </w:rPr>
        <w:t xml:space="preserve">,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N</w:t>
        </w:r>
      </w:hyperlink>
      <w:r>
        <w:rPr>
          <w:sz w:val="20"/>
        </w:rPr>
        <w:t xml:space="preserve">, </w:t>
      </w:r>
      <w:hyperlink w:history="0" r:id="rId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O</w:t>
        </w:r>
      </w:hyperlink>
      <w:r>
        <w:rPr>
          <w:sz w:val="20"/>
        </w:rPr>
        <w:t xml:space="preserve">, </w:t>
      </w:r>
      <w:hyperlink w:history="0" r:id="rId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S</w:t>
        </w:r>
      </w:hyperlink>
      <w:r>
        <w:rPr>
          <w:sz w:val="20"/>
        </w:rPr>
        <w:t xml:space="preserve"> (кроме </w:t>
      </w:r>
      <w:hyperlink w:history="0" r:id="rId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группы 96.04</w:t>
        </w:r>
      </w:hyperlink>
      <w:r>
        <w:rPr>
          <w:sz w:val="20"/>
        </w:rPr>
        <w:t xml:space="preserve">), </w:t>
      </w:r>
      <w:hyperlink w:history="0" r:id="rId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T</w:t>
        </w:r>
      </w:hyperlink>
      <w:r>
        <w:rPr>
          <w:sz w:val="20"/>
        </w:rPr>
        <w:t xml:space="preserve">, </w:t>
      </w:r>
      <w:hyperlink w:history="0" r:id="rId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U</w:t>
        </w:r>
      </w:hyperlink>
      <w:r>
        <w:rPr>
          <w:sz w:val="20"/>
        </w:rPr>
        <w:t xml:space="preserve">;</w:t>
      </w:r>
    </w:p>
    <w:p>
      <w:pPr>
        <w:pStyle w:val="0"/>
        <w:spacing w:before="200" w:lineRule="auto"/>
        <w:ind w:firstLine="540"/>
        <w:jc w:val="both"/>
      </w:pPr>
      <w:r>
        <w:rPr>
          <w:sz w:val="20"/>
        </w:rPr>
        <w:t xml:space="preserve">5) инвестиционный проект в сфере производства в приоритетной отрасли (далее - проект) - комплексный план мероприятий участника отбора,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w:t>
      </w:r>
    </w:p>
    <w:bookmarkStart w:id="69" w:name="P69"/>
    <w:bookmarkEnd w:id="69"/>
    <w:p>
      <w:pPr>
        <w:pStyle w:val="0"/>
        <w:spacing w:before="200" w:lineRule="auto"/>
        <w:ind w:firstLine="540"/>
        <w:jc w:val="both"/>
      </w:pPr>
      <w:r>
        <w:rPr>
          <w:sz w:val="20"/>
        </w:rPr>
        <w:t xml:space="preserve">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pPr>
        <w:pStyle w:val="0"/>
        <w:spacing w:before="200" w:lineRule="auto"/>
        <w:ind w:firstLine="540"/>
        <w:jc w:val="both"/>
      </w:pPr>
      <w:r>
        <w:rPr>
          <w:sz w:val="20"/>
        </w:rPr>
        <w:t xml:space="preserve">7) полная стоимость проекта - суммарный объем всех затрат, понесенных субъектом малого и среднего предпринимательства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p>
    <w:bookmarkStart w:id="71" w:name="P71"/>
    <w:bookmarkEnd w:id="71"/>
    <w:p>
      <w:pPr>
        <w:pStyle w:val="0"/>
        <w:spacing w:before="200" w:lineRule="auto"/>
        <w:ind w:firstLine="540"/>
        <w:jc w:val="both"/>
      </w:pPr>
      <w:r>
        <w:rPr>
          <w:sz w:val="20"/>
        </w:rPr>
        <w:t xml:space="preserve">8) инвестиции - часть полной стоимости проекта в период его реализации в отрезки времени, определенные настоящим Положением;</w:t>
      </w:r>
    </w:p>
    <w:p>
      <w:pPr>
        <w:pStyle w:val="0"/>
        <w:spacing w:before="200" w:lineRule="auto"/>
        <w:ind w:firstLine="540"/>
        <w:jc w:val="both"/>
      </w:pPr>
      <w:r>
        <w:rPr>
          <w:sz w:val="20"/>
        </w:rPr>
        <w:t xml:space="preserve">9) объекты капитального строительства - здания, строения, сооружения, за исключением некапитальных строений, сооружений и неотделимых улучшений земельного участка (замощение, покрытие и другие) в соответствии с </w:t>
      </w:r>
      <w:hyperlink w:history="0" r:id="rId5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10 статьи 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10) здание (далее именуется - здание или объект капитального строительства)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в соответствии с </w:t>
      </w:r>
      <w:hyperlink w:history="0" r:id="rId55"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пунктом 6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11) помещение нежилое, включая производственное (далее именуется - помещение или объект капитального строительства) - обособленная часть здания или сооружения, подходящая для использования в соответствующих целях, не связанных с проживанием граждан; часть объема здания, имеющая определенное назначение и ограниченная строительными конструкциями, в том числе с предусмотренным пребыванием людей непрерывно в течение более двух часов, в соответствии с </w:t>
      </w:r>
      <w:hyperlink w:history="0" r:id="rId5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1 статьи 141.4</w:t>
        </w:r>
      </w:hyperlink>
      <w:r>
        <w:rPr>
          <w:sz w:val="20"/>
        </w:rPr>
        <w:t xml:space="preserve"> Градостроительного кодекса Российской Федерации, утвержденного Федеральным законом от 29.12.2004 N 190-ФЗ, </w:t>
      </w:r>
      <w:hyperlink w:history="0" r:id="rId5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пунктами 14</w:t>
        </w:r>
      </w:hyperlink>
      <w:r>
        <w:rPr>
          <w:sz w:val="20"/>
        </w:rPr>
        <w:t xml:space="preserve">, </w:t>
      </w:r>
      <w:hyperlink w:history="0" r:id="rId5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15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12) инженерная инфраструктура (объекты инженерной инфраструктуры) - совокупность зданий, сооружений, коммуникаций, трубопроводов (в том числе централизованных) для выполнения функций водоснабжения, газоснабжения, отопления, электроснабжения, канализации, вентиляции, кондиционирования воздуха, связи, информатизации или функций обеспечения безопасности;</w:t>
      </w:r>
    </w:p>
    <w:p>
      <w:pPr>
        <w:pStyle w:val="0"/>
        <w:spacing w:before="200" w:lineRule="auto"/>
        <w:ind w:firstLine="540"/>
        <w:jc w:val="both"/>
      </w:pPr>
      <w:r>
        <w:rPr>
          <w:sz w:val="20"/>
        </w:rPr>
        <w:t xml:space="preserve">13) исполнитель - организация (в том числе гарантирующая организация, определенная в отношении централизованных объектов инженерной инфраструктуры), обеспечивающая водоснабжение, газоснабжение, отопление, электроснабжение, водоотведение, вентиляцию, кондиционирование воздуха, связь, информатизацию или безопасность объекта капитального строительства, владеющая на праве собственности или на ином законном основании объектами инженерной инфраструктуры, к которым непосредственно или через технологически связанные (смежные) объекты инженерной инфраструктуры иных лиц осуществляется подключение (технологическое присоединение) к инженерной инфраструктуре в соответствии с положениями </w:t>
      </w:r>
      <w:hyperlink w:history="0" r:id="rId5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статьи 52.1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14) технические условия подключения (технологического присоединения) к объектам инженерной инфраструктуры (далее - технические условия) - документ, предусматривающий технические мероприятия, выполняемые участником отбора и исполнителем для осуществления подключения объекта капитального строительства к инженерной инфраструктуре, выдаваемый исполнителем в целях архитектурно-строительного проектирования объекта капитального строительства и заключения договора о подключении, содержащего информацию об имеющейся возможности подключения помещения в пределах указанной в таком документе максимальной мощности (нагрузки) в точках присоединения (местах физического соединения объекта капитального строительства с существующими объектами инженерной инфраструктуры) в пределах указанного в таком документе срока, и являющийся обязательным приложением к договору о подключении;</w:t>
      </w:r>
    </w:p>
    <w:p>
      <w:pPr>
        <w:pStyle w:val="0"/>
        <w:spacing w:before="200" w:lineRule="auto"/>
        <w:ind w:firstLine="540"/>
        <w:jc w:val="both"/>
      </w:pPr>
      <w:r>
        <w:rPr>
          <w:sz w:val="20"/>
        </w:rPr>
        <w:t xml:space="preserve">15) оборудование (далее - оборудование) - новые, не бывшие в эксплуатации, приобретенные в целях реализации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w:t>
      </w:r>
      <w:hyperlink w:history="0" r:id="rId60" w:tooltip="&quot;Налоговый кодекс Российской Федерации (часть вторая)&quot; от 05.08.2000 N 117-ФЗ (ред. от 25.05.2026) (с изм. и доп., вступ. в силу с 01.07.2026) {КонсультантПлюс}">
        <w:r>
          <w:rPr>
            <w:sz w:val="20"/>
            <w:color w:val="0000ff"/>
          </w:rPr>
          <w:t xml:space="preserve">статьи 258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16) 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pPr>
        <w:pStyle w:val="0"/>
        <w:spacing w:before="200" w:lineRule="auto"/>
        <w:ind w:firstLine="540"/>
        <w:jc w:val="both"/>
      </w:pPr>
      <w:r>
        <w:rPr>
          <w:sz w:val="20"/>
        </w:rPr>
        <w:t xml:space="preserve">17) 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w:t>
      </w:r>
    </w:p>
    <w:p>
      <w:pPr>
        <w:pStyle w:val="0"/>
        <w:spacing w:before="200" w:lineRule="auto"/>
        <w:ind w:firstLine="540"/>
        <w:jc w:val="both"/>
      </w:pPr>
      <w:r>
        <w:rPr>
          <w:sz w:val="20"/>
        </w:rPr>
        <w:t xml:space="preserve">18) аналогичная поддержка - государственная и (или) муниципальная поддержка, оказанная в отношении одного и того же субъекта малого или среднего предпринимательства на возмещение (финансовое обеспечение) одних и тех же затрат (части затрат), условия оказания которой совпадают, включая форму, вид поддержки и цели ее оказания.</w:t>
      </w:r>
    </w:p>
    <w:p>
      <w:pPr>
        <w:pStyle w:val="0"/>
        <w:spacing w:before="200" w:lineRule="auto"/>
        <w:ind w:firstLine="540"/>
        <w:jc w:val="both"/>
      </w:pPr>
      <w:r>
        <w:rPr>
          <w:sz w:val="20"/>
        </w:rPr>
        <w:t xml:space="preserve">3. Главным распорядителем является администрация города Красноярска.</w:t>
      </w:r>
    </w:p>
    <w:p>
      <w:pPr>
        <w:pStyle w:val="0"/>
        <w:spacing w:before="200" w:lineRule="auto"/>
        <w:ind w:firstLine="540"/>
        <w:jc w:val="both"/>
      </w:pPr>
      <w:r>
        <w:rPr>
          <w:sz w:val="20"/>
        </w:rPr>
        <w:t xml:space="preserve">4. Субсидия предоставляется в пределах средств, предусмотренных на эти цели в бюджете города на соответствующий финансовый год и плановый период, на основании правового акта города о предоставлении субсидии, соглашений о предоставлении субсидии, заключенных между главным распорядителем и получателями субсидии (далее - соглашение).</w:t>
      </w:r>
    </w:p>
    <w:p>
      <w:pPr>
        <w:pStyle w:val="0"/>
        <w:spacing w:before="200" w:lineRule="auto"/>
        <w:ind w:firstLine="540"/>
        <w:jc w:val="both"/>
      </w:pPr>
      <w:r>
        <w:rPr>
          <w:sz w:val="20"/>
        </w:rPr>
        <w:t xml:space="preserve">5. Способ предоставления субсидии - возмещение части затрат.</w:t>
      </w:r>
    </w:p>
    <w:p>
      <w:pPr>
        <w:pStyle w:val="0"/>
        <w:spacing w:before="200" w:lineRule="auto"/>
        <w:ind w:firstLine="540"/>
        <w:jc w:val="both"/>
      </w:pPr>
      <w:r>
        <w:rPr>
          <w:sz w:val="20"/>
        </w:rPr>
        <w:t xml:space="preserve">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w:t>
      </w:r>
    </w:p>
    <w:p>
      <w:pPr>
        <w:pStyle w:val="0"/>
        <w:jc w:val="both"/>
      </w:pPr>
      <w:r>
        <w:rPr>
          <w:sz w:val="20"/>
        </w:rPr>
        <w:t xml:space="preserve">(п. 6 в ред. </w:t>
      </w:r>
      <w:hyperlink w:history="0" r:id="rId6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ind w:firstLine="540"/>
        <w:jc w:val="both"/>
      </w:pPr>
      <w:r>
        <w:rPr>
          <w:sz w:val="20"/>
        </w:rPr>
      </w:r>
    </w:p>
    <w:p>
      <w:pPr>
        <w:pStyle w:val="2"/>
        <w:outlineLvl w:val="1"/>
        <w:jc w:val="center"/>
      </w:pPr>
      <w:r>
        <w:rPr>
          <w:sz w:val="20"/>
        </w:rPr>
        <w:t xml:space="preserve">II. ПОРЯДОК ПРОВЕДЕНИЯ ОТБОРА ПОЛУЧАТЕЛЕЙ СУБСИДИИ</w:t>
      </w:r>
    </w:p>
    <w:p>
      <w:pPr>
        <w:pStyle w:val="0"/>
        <w:ind w:firstLine="540"/>
        <w:jc w:val="both"/>
      </w:pPr>
      <w:r>
        <w:rPr>
          <w:sz w:val="20"/>
        </w:rPr>
      </w:r>
    </w:p>
    <w:p>
      <w:pPr>
        <w:pStyle w:val="0"/>
        <w:ind w:firstLine="540"/>
        <w:jc w:val="both"/>
      </w:pPr>
      <w:r>
        <w:rPr>
          <w:sz w:val="20"/>
        </w:rPr>
        <w:t xml:space="preserve">7. Способом отбора получателей субсидии является конкурс, осуществляемый на конкурентной основе, исходя из наилучших условий достижения результатов предоставления субсидии, при котором ранжирование поступивших от участников отбора заявок определяется по мере уменьшения полученных баллов по итогам оценки заявок и очередности их поступления в случае равенства количества полученных баллов.</w:t>
      </w:r>
    </w:p>
    <w:p>
      <w:pPr>
        <w:pStyle w:val="0"/>
        <w:spacing w:before="200" w:lineRule="auto"/>
        <w:ind w:firstLine="540"/>
        <w:jc w:val="both"/>
      </w:pPr>
      <w:r>
        <w:rPr>
          <w:sz w:val="20"/>
        </w:rPr>
        <w:t xml:space="preserve">Конкурс проводится один раз в текущем финансовом году в один этап, включающий стадию рассмотрения и оценки заявок, стадию определения получателей субсидии (победителей конкурса) и размеров субсидии, предоставляемых каждому получателю субсидии.</w:t>
      </w:r>
    </w:p>
    <w:p>
      <w:pPr>
        <w:pStyle w:val="0"/>
        <w:spacing w:before="200" w:lineRule="auto"/>
        <w:ind w:firstLine="540"/>
        <w:jc w:val="both"/>
      </w:pPr>
      <w:r>
        <w:rPr>
          <w:sz w:val="20"/>
        </w:rPr>
        <w:t xml:space="preserve">Проведение конкурса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pPr>
        <w:pStyle w:val="0"/>
        <w:spacing w:before="200" w:lineRule="auto"/>
        <w:ind w:firstLine="540"/>
        <w:jc w:val="both"/>
      </w:pPr>
      <w:r>
        <w:rPr>
          <w:sz w:val="20"/>
        </w:rPr>
        <w:t xml:space="preserve">Обеспечение доступа к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Взаимодействие уполномоченного органа и конкурсной комиссии с участниками отбора осуществляется с использованием документов в электронной форме в ГИИС "Электронный бюджет".</w:t>
      </w:r>
    </w:p>
    <w:bookmarkStart w:id="95" w:name="P95"/>
    <w:bookmarkEnd w:id="95"/>
    <w:p>
      <w:pPr>
        <w:pStyle w:val="0"/>
        <w:spacing w:before="200" w:lineRule="auto"/>
        <w:ind w:firstLine="540"/>
        <w:jc w:val="both"/>
      </w:pPr>
      <w:r>
        <w:rPr>
          <w:sz w:val="20"/>
        </w:rPr>
        <w:t xml:space="preserve">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w:t>
      </w:r>
      <w:hyperlink w:history="0" w:anchor="P160" w:tooltip="4) в сроки, установленные пунктами 8, 9, 18, 20, 24 настоящего Положения:">
        <w:r>
          <w:rPr>
            <w:sz w:val="20"/>
            <w:color w:val="0000ff"/>
          </w:rPr>
          <w:t xml:space="preserve">подпунктом 4 пункта 13</w:t>
        </w:r>
      </w:hyperlink>
      <w:r>
        <w:rPr>
          <w:sz w:val="20"/>
        </w:rPr>
        <w:t xml:space="preserve"> настоящего Положения и включает:</w:t>
      </w:r>
    </w:p>
    <w:p>
      <w:pPr>
        <w:pStyle w:val="0"/>
        <w:spacing w:before="200" w:lineRule="auto"/>
        <w:ind w:firstLine="540"/>
        <w:jc w:val="both"/>
      </w:pPr>
      <w:r>
        <w:rPr>
          <w:sz w:val="20"/>
        </w:rPr>
        <w:t xml:space="preserve">1) дату размещения объявления о проведении конкурса на едином портале, а также на официальном сайте администрации города Красноярска в сети Интернет по адресу: </w:t>
      </w:r>
      <w:hyperlink w:history="0" r:id="rId62">
        <w:r>
          <w:rPr>
            <w:sz w:val="20"/>
            <w:color w:val="0000ff"/>
          </w:rPr>
          <w:t xml:space="preserve">www.admkrsk.ru</w:t>
        </w:r>
      </w:hyperlink>
      <w:r>
        <w:rPr>
          <w:sz w:val="20"/>
        </w:rPr>
        <w:t xml:space="preserve">, раздел "Город сегодня/Экономика/Поддержка субъектов малого и среднего предпринимательства/Информационные сообщения" (далее - Сайт);</w:t>
      </w:r>
    </w:p>
    <w:p>
      <w:pPr>
        <w:pStyle w:val="0"/>
        <w:spacing w:before="200" w:lineRule="auto"/>
        <w:ind w:firstLine="540"/>
        <w:jc w:val="both"/>
      </w:pPr>
      <w:r>
        <w:rPr>
          <w:sz w:val="20"/>
        </w:rPr>
        <w:t xml:space="preserve">2) сроки проведения конкурса;</w:t>
      </w:r>
    </w:p>
    <w:p>
      <w:pPr>
        <w:pStyle w:val="0"/>
        <w:spacing w:before="200" w:lineRule="auto"/>
        <w:ind w:firstLine="540"/>
        <w:jc w:val="both"/>
      </w:pPr>
      <w:r>
        <w:rPr>
          <w:sz w:val="20"/>
        </w:rPr>
        <w:t xml:space="preserve">3) дату начала подачи и окончания приема заявок, которая не может быть ранее 30-го календарного дня, следующего за днем размещения объявления о проведении конкурса;</w:t>
      </w:r>
    </w:p>
    <w:p>
      <w:pPr>
        <w:pStyle w:val="0"/>
        <w:spacing w:before="200" w:lineRule="auto"/>
        <w:ind w:firstLine="540"/>
        <w:jc w:val="both"/>
      </w:pPr>
      <w:r>
        <w:rPr>
          <w:sz w:val="20"/>
        </w:rPr>
        <w:t xml:space="preserve">4) наименование, местонахождение, почтовый адрес, адрес электронной почты уполномоченного органа;</w:t>
      </w:r>
    </w:p>
    <w:p>
      <w:pPr>
        <w:pStyle w:val="0"/>
        <w:spacing w:before="200" w:lineRule="auto"/>
        <w:ind w:firstLine="540"/>
        <w:jc w:val="both"/>
      </w:pPr>
      <w:r>
        <w:rPr>
          <w:sz w:val="20"/>
        </w:rPr>
        <w:t xml:space="preserve">5) результаты предоставления субсидии, установленные </w:t>
      </w:r>
      <w:hyperlink w:history="0" w:anchor="P385" w:tooltip="37. Результатами предоставления субсидии, включаемыми в соглашение, являются:">
        <w:r>
          <w:rPr>
            <w:sz w:val="20"/>
            <w:color w:val="0000ff"/>
          </w:rPr>
          <w:t xml:space="preserve">пунктом 37</w:t>
        </w:r>
      </w:hyperlink>
      <w:r>
        <w:rPr>
          <w:sz w:val="20"/>
        </w:rPr>
        <w:t xml:space="preserve"> настоящего Положения;</w:t>
      </w:r>
    </w:p>
    <w:p>
      <w:pPr>
        <w:pStyle w:val="0"/>
        <w:spacing w:before="200" w:lineRule="auto"/>
        <w:ind w:firstLine="540"/>
        <w:jc w:val="both"/>
      </w:pPr>
      <w:r>
        <w:rPr>
          <w:sz w:val="20"/>
        </w:rPr>
        <w:t xml:space="preserve">6) доменное имя и (или) указатели страниц ГИИС "Электронный бюджет" в сети Интернет;</w:t>
      </w:r>
    </w:p>
    <w:p>
      <w:pPr>
        <w:pStyle w:val="0"/>
        <w:spacing w:before="200" w:lineRule="auto"/>
        <w:ind w:firstLine="540"/>
        <w:jc w:val="both"/>
      </w:pPr>
      <w:r>
        <w:rPr>
          <w:sz w:val="20"/>
        </w:rPr>
        <w:t xml:space="preserve">7) требования к участникам отбора (получателям субсидии), установленные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а также требования к документам, указанным в </w:t>
      </w:r>
      <w:hyperlink w:history="0" w:anchor="P329" w:tooltip="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подпункте 1 пункта 15 настоящего Положения;">
        <w:r>
          <w:rPr>
            <w:sz w:val="20"/>
            <w:color w:val="0000ff"/>
          </w:rPr>
          <w:t xml:space="preserve">подпунктах 1</w:t>
        </w:r>
      </w:hyperlink>
      <w:r>
        <w:rPr>
          <w:sz w:val="20"/>
        </w:rPr>
        <w:t xml:space="preserve"> - </w:t>
      </w:r>
      <w:hyperlink w:history="0" w:anchor="P337" w:tooltip="9) выписки из электронного сервиса &quot;Реестр дисквалифицированных лиц&quot; или &quot;Прозрачный бизнес&quot;,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9 пункта 12 настоящего Положения;">
        <w:r>
          <w:rPr>
            <w:sz w:val="20"/>
            <w:color w:val="0000ff"/>
          </w:rPr>
          <w:t xml:space="preserve">9 пункта 26</w:t>
        </w:r>
      </w:hyperlink>
      <w:r>
        <w:rPr>
          <w:sz w:val="20"/>
        </w:rPr>
        <w:t xml:space="preserve"> настоящего Положения, для подтверждения соответствия участников отбора (получателей субсидии) указанным требованиям, которые участник отбора (получатель субсидии) вправе представить самостоятельно;</w:t>
      </w:r>
    </w:p>
    <w:p>
      <w:pPr>
        <w:pStyle w:val="0"/>
        <w:spacing w:before="200" w:lineRule="auto"/>
        <w:ind w:firstLine="540"/>
        <w:jc w:val="both"/>
      </w:pPr>
      <w:r>
        <w:rPr>
          <w:sz w:val="20"/>
        </w:rPr>
        <w:t xml:space="preserve">8) категории получателей субсидии и требования к участникам отбора, установленные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требования к перечню документов, указанному в </w:t>
      </w:r>
      <w:hyperlink w:history="0" w:anchor="P323" w:tooltip="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
        <w:r>
          <w:rPr>
            <w:sz w:val="20"/>
            <w:color w:val="0000ff"/>
          </w:rPr>
          <w:t xml:space="preserve">подпунктах 1</w:t>
        </w:r>
      </w:hyperlink>
      <w:r>
        <w:rPr>
          <w:sz w:val="20"/>
        </w:rPr>
        <w:t xml:space="preserve"> - </w:t>
      </w:r>
      <w:hyperlink w:history="0" w:anchor="P325" w:tooltip="3) сведений о соответствии категориям получателей субсидии, указанным в подпункте 6 пункта 10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quot;Электронный бюджет&quot;.">
        <w:r>
          <w:rPr>
            <w:sz w:val="20"/>
            <w:color w:val="0000ff"/>
          </w:rPr>
          <w:t xml:space="preserve">3 пункта 25</w:t>
        </w:r>
      </w:hyperlink>
      <w:r>
        <w:rPr>
          <w:sz w:val="20"/>
        </w:rPr>
        <w:t xml:space="preserve"> настоящего Положения, для подтверждения соответствия указанным требованиям, а также критерии оценки и условия рассмотрения заявок, установленные </w:t>
      </w:r>
      <w:hyperlink w:history="0" w:anchor="P277" w:tooltip="21. Заявки рассматриваются и оцениваются комиссией по следующим критериям оценки:">
        <w:r>
          <w:rPr>
            <w:sz w:val="20"/>
            <w:color w:val="0000ff"/>
          </w:rPr>
          <w:t xml:space="preserve">пунктами 21</w:t>
        </w:r>
      </w:hyperlink>
      <w:r>
        <w:rPr>
          <w:sz w:val="20"/>
        </w:rPr>
        <w:t xml:space="preserve">, </w:t>
      </w:r>
      <w:hyperlink w:history="0" w:anchor="P307" w:tooltip="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9) порядок подачи участниками отбора заявки в соответствии с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(далее - заявка) и требования, предъявляемые к форме и содержанию заявки согласно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пункту 17</w:t>
        </w:r>
      </w:hyperlink>
      <w:r>
        <w:rPr>
          <w:sz w:val="20"/>
        </w:rPr>
        <w:t xml:space="preserve"> настоящего Положения, которые включают в том числе согласие на публикацию (размещение) в сети Интернет информации об участнике отбора, подаваемом им в заявлении на предоставление субсидии, иной информации об участнике отбора, связанной с конкурсом, а также согласие на обработку персональных данных (для индивидуального предпринимателя);</w:t>
      </w:r>
    </w:p>
    <w:p>
      <w:pPr>
        <w:pStyle w:val="0"/>
        <w:spacing w:before="200" w:lineRule="auto"/>
        <w:ind w:firstLine="540"/>
        <w:jc w:val="both"/>
      </w:pPr>
      <w:r>
        <w:rPr>
          <w:sz w:val="20"/>
        </w:rPr>
        <w:t xml:space="preserve">10) порядок уведомления в соответствии с </w:t>
      </w:r>
      <w:hyperlink w:history="0" w:anchor="P174" w:tooltip="В случае если дата представления участником отбора заявки зарегистрирована в порядке, указанном в абзаце первом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подпункта 1 пункта 27 настоящего Положения в ГИИС &quot;Электронный бюджет&quot;.">
        <w:r>
          <w:rPr>
            <w:sz w:val="20"/>
            <w:color w:val="0000ff"/>
          </w:rPr>
          <w:t xml:space="preserve">абзацем вторым пункта 15</w:t>
        </w:r>
      </w:hyperlink>
      <w:r>
        <w:rPr>
          <w:sz w:val="20"/>
        </w:rPr>
        <w:t xml:space="preserve"> настоящего Положения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w:t>
      </w:r>
    </w:p>
    <w:p>
      <w:pPr>
        <w:pStyle w:val="0"/>
        <w:spacing w:before="200" w:lineRule="auto"/>
        <w:ind w:firstLine="540"/>
        <w:jc w:val="both"/>
      </w:pPr>
      <w:r>
        <w:rPr>
          <w:sz w:val="20"/>
        </w:rPr>
        <w:t xml:space="preserve">11) порядок отзыва участником отбора заявки, порядок возврата заявки, определяющий в том числе основания для возврата заявки участнику отбора, порядок внесения участником отбора изменений в заявку, а также порядок возврата заявки на доработку в соответствии с </w:t>
      </w:r>
      <w:hyperlink w:history="0" w:anchor="P175" w:tooltip="16. Участник отбора вправе отозвать заявку по собственной инициативе в личном кабинете в ГИИС &quot;Электронный бюджет&quot; не позднее даты окончания приема заявок, указанного в объявлении о проведении конкурса.">
        <w:r>
          <w:rPr>
            <w:sz w:val="20"/>
            <w:color w:val="0000ff"/>
          </w:rPr>
          <w:t xml:space="preserve">пунктом 16</w:t>
        </w:r>
      </w:hyperlink>
      <w:r>
        <w:rPr>
          <w:sz w:val="20"/>
        </w:rPr>
        <w:t xml:space="preserve"> настоящего Положения;</w:t>
      </w:r>
    </w:p>
    <w:p>
      <w:pPr>
        <w:pStyle w:val="0"/>
        <w:spacing w:before="200" w:lineRule="auto"/>
        <w:ind w:firstLine="540"/>
        <w:jc w:val="both"/>
      </w:pPr>
      <w:r>
        <w:rPr>
          <w:sz w:val="20"/>
        </w:rPr>
        <w:t xml:space="preserve">12) правила рассмотрения и оценки заявок участников отбора в соответствии с </w:t>
      </w:r>
      <w:hyperlink w:history="0" w:anchor="P261"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пунктами 19</w:t>
        </w:r>
      </w:hyperlink>
      <w:r>
        <w:rPr>
          <w:sz w:val="20"/>
        </w:rPr>
        <w:t xml:space="preserve"> - </w:t>
      </w:r>
      <w:hyperlink w:history="0" w:anchor="P313"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13) порядок отклонения заявок, а также информацию об основаниях их отклонения в соответствии с </w:t>
      </w:r>
      <w:hyperlink w:history="0" w:anchor="P339"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p>
      <w:pPr>
        <w:pStyle w:val="0"/>
        <w:spacing w:before="200" w:lineRule="auto"/>
        <w:ind w:firstLine="540"/>
        <w:jc w:val="both"/>
      </w:pPr>
      <w:r>
        <w:rPr>
          <w:sz w:val="20"/>
        </w:rPr>
        <w:t xml:space="preserve">14) порядок оценки заявок, включающий критерии оценки и их весовое значение в общей оценке, необходимую для представления участником отбора информацию в составе заявки по каждому критерию оценки, сведения, документы и материалы, подтверждающие такую информацию, минимальный проходной балл, который необходимо набрать участникам отбора по результатам оценки заявок для признания их победителями конкурса, сроки оценки заявок, а также информацию об участии конкурсной комиссии в оценке заявок в соответствии с </w:t>
      </w:r>
      <w:hyperlink w:history="0" w:anchor="P261"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пунктом 19</w:t>
        </w:r>
      </w:hyperlink>
      <w:r>
        <w:rPr>
          <w:sz w:val="20"/>
        </w:rPr>
        <w:t xml:space="preserve"> настоящего Положения;</w:t>
      </w:r>
    </w:p>
    <w:p>
      <w:pPr>
        <w:pStyle w:val="0"/>
        <w:spacing w:before="200" w:lineRule="auto"/>
        <w:ind w:firstLine="540"/>
        <w:jc w:val="both"/>
      </w:pPr>
      <w:r>
        <w:rPr>
          <w:sz w:val="20"/>
        </w:rPr>
        <w:t xml:space="preserve">15) объем распределяемой субсидии в рамках конкурса, порядок расчета размера субсидии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правила распределения субсидии по результатам конкурса, которые могут включать максимальный, минимальный размер субсидии, предоставляемой победителям конкурса (получателям субсидии), а также предельное количество победителей конкурса (получателей субсидии);</w:t>
      </w:r>
    </w:p>
    <w:p>
      <w:pPr>
        <w:pStyle w:val="0"/>
        <w:spacing w:before="200" w:lineRule="auto"/>
        <w:ind w:firstLine="540"/>
        <w:jc w:val="both"/>
      </w:pPr>
      <w:r>
        <w:rPr>
          <w:sz w:val="20"/>
        </w:rPr>
        <w:t xml:space="preserve">16) порядок предоставления участникам отбора разъяснений положений объявления о проведении конкурса в соответствии с </w:t>
      </w:r>
      <w:hyperlink w:history="0" w:anchor="P179"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81"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даты начала и окончания срока такого предоставления в соответствии с </w:t>
      </w:r>
      <w:hyperlink w:history="0" w:anchor="P162" w:tooltip="5) организует информирование участников отбора по вопросам разъяснения положений объявления о проведении конкурса в порядке, установленном абзацами пятым - седьмым пункта 16 настоящего Положения, в течение срока приема заявок, установленного в объявлении о проведении конкурса;">
        <w:r>
          <w:rPr>
            <w:sz w:val="20"/>
            <w:color w:val="0000ff"/>
          </w:rPr>
          <w:t xml:space="preserve">подпунктом 5 пункта 13</w:t>
        </w:r>
      </w:hyperlink>
      <w:r>
        <w:rPr>
          <w:sz w:val="20"/>
        </w:rPr>
        <w:t xml:space="preserve"> настоящего Положения;</w:t>
      </w:r>
    </w:p>
    <w:p>
      <w:pPr>
        <w:pStyle w:val="0"/>
        <w:spacing w:before="200" w:lineRule="auto"/>
        <w:ind w:firstLine="540"/>
        <w:jc w:val="both"/>
      </w:pPr>
      <w:r>
        <w:rPr>
          <w:sz w:val="20"/>
        </w:rPr>
        <w:t xml:space="preserve">17) срок, в течение которого победители конкурса (получатели субсидии) должны подписать соглашения в соответствии с </w:t>
      </w:r>
      <w:hyperlink w:history="0" w:anchor="P355"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руководителя получателя субсидии или уполномоченного им лица в случае принятия решения о соответствии получателя субсидии, заявки получателя субсидии требованиям, целям и условиям предоставления субсидии, установленным настоящим Положением.">
        <w:r>
          <w:rPr>
            <w:sz w:val="20"/>
            <w:color w:val="0000ff"/>
          </w:rPr>
          <w:t xml:space="preserve">подпунктом 2 пункта 30</w:t>
        </w:r>
      </w:hyperlink>
      <w:r>
        <w:rPr>
          <w:sz w:val="20"/>
        </w:rPr>
        <w:t xml:space="preserve"> настоящего Положения;</w:t>
      </w:r>
    </w:p>
    <w:p>
      <w:pPr>
        <w:pStyle w:val="0"/>
        <w:spacing w:before="200" w:lineRule="auto"/>
        <w:ind w:firstLine="540"/>
        <w:jc w:val="both"/>
      </w:pPr>
      <w:r>
        <w:rPr>
          <w:sz w:val="20"/>
        </w:rPr>
        <w:t xml:space="preserve">18) условия признания победителя конкурса (получателя субсидии) уклонившимся от заключения соглашения в соответствии с </w:t>
      </w:r>
      <w:hyperlink w:history="0" w:anchor="P432" w:tooltip="43. В случае если соглашение не заключено в сроки, установленные подпунктом 2 пункта 30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пункте 29 настоящего Положения, вносятся соответствующие изменения.">
        <w:r>
          <w:rPr>
            <w:sz w:val="20"/>
            <w:color w:val="0000ff"/>
          </w:rPr>
          <w:t xml:space="preserve">пунктом 43</w:t>
        </w:r>
      </w:hyperlink>
      <w:r>
        <w:rPr>
          <w:sz w:val="20"/>
        </w:rPr>
        <w:t xml:space="preserve"> настоящего Положения;</w:t>
      </w:r>
    </w:p>
    <w:p>
      <w:pPr>
        <w:pStyle w:val="0"/>
        <w:spacing w:before="200" w:lineRule="auto"/>
        <w:ind w:firstLine="540"/>
        <w:jc w:val="both"/>
      </w:pPr>
      <w:r>
        <w:rPr>
          <w:sz w:val="20"/>
        </w:rPr>
        <w:t xml:space="preserve">19) сроки размещения протокола подведения итогов конкурса на едином портале и Сайте, которые не могут быть позднее 14-го календарного дня, следующего за днем определения победителей конкурса (получателей субсидии) на основании результатов определения победителей конкурса и размеров субсидии, предоставляемой каждому победителю конкурса, в соответствии с </w:t>
      </w:r>
      <w:hyperlink w:history="0" w:anchor="P273" w:tooltip="в течение 2 рабочих дней, следующих за днем размещения в ГИИС &quot;Электронный бюджет&quot;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
        <w:r>
          <w:rPr>
            <w:sz w:val="20"/>
            <w:color w:val="0000ff"/>
          </w:rPr>
          <w:t xml:space="preserve">абзацами седьмым</w:t>
        </w:r>
      </w:hyperlink>
      <w:r>
        <w:rPr>
          <w:sz w:val="20"/>
        </w:rPr>
        <w:t xml:space="preserve"> - </w:t>
      </w:r>
      <w:hyperlink w:history="0" w:anchor="P276" w:tooltip="Уполномоченный орган размещает в ГИИС &quot;Электронный бюджет&quot; результаты определения победителя (победителей) отбора, на основании которых формируется протокол подведения итогов конкурса в соответствии с пунктом 24 настоящего Положения.">
        <w:r>
          <w:rPr>
            <w:sz w:val="20"/>
            <w:color w:val="0000ff"/>
          </w:rPr>
          <w:t xml:space="preserve">десятым пункта 20</w:t>
        </w:r>
      </w:hyperlink>
      <w:r>
        <w:rPr>
          <w:sz w:val="20"/>
        </w:rPr>
        <w:t xml:space="preserve"> настоящего Положения.</w:t>
      </w:r>
    </w:p>
    <w:p>
      <w:pPr>
        <w:pStyle w:val="0"/>
        <w:spacing w:before="200" w:lineRule="auto"/>
        <w:ind w:firstLine="540"/>
        <w:jc w:val="both"/>
      </w:pPr>
      <w:r>
        <w:rPr>
          <w:sz w:val="20"/>
        </w:rPr>
        <w:t xml:space="preserve">Внесение изменений в объявление о проведении конкурса осуществляется не позднее наступления даты окончания приема заявок участниками отбора, установленной в объявлении о проведении конкурса,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spacing w:before="200" w:lineRule="auto"/>
        <w:ind w:firstLine="540"/>
        <w:jc w:val="both"/>
      </w:pPr>
      <w:r>
        <w:rPr>
          <w:sz w:val="20"/>
        </w:rPr>
        <w:t xml:space="preserve">При внесении изменений в объявление о проведении конкурса изменение способа отбора получателей субсидии не допускается.</w:t>
      </w:r>
    </w:p>
    <w:p>
      <w:pPr>
        <w:pStyle w:val="0"/>
        <w:spacing w:before="200" w:lineRule="auto"/>
        <w:ind w:firstLine="540"/>
        <w:jc w:val="both"/>
      </w:pPr>
      <w:r>
        <w:rPr>
          <w:sz w:val="20"/>
        </w:rPr>
        <w:t xml:space="preserve">Участники отбора,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ГИИС "Электронный бюджет".</w:t>
      </w:r>
    </w:p>
    <w:bookmarkStart w:id="118" w:name="P118"/>
    <w:bookmarkEnd w:id="118"/>
    <w:p>
      <w:pPr>
        <w:pStyle w:val="0"/>
        <w:spacing w:before="200" w:lineRule="auto"/>
        <w:ind w:firstLine="540"/>
        <w:jc w:val="both"/>
      </w:pPr>
      <w:r>
        <w:rPr>
          <w:sz w:val="20"/>
        </w:rPr>
        <w:t xml:space="preserve">9. В случае признания конкурса несостоявшимся по основаниям, указанным в </w:t>
      </w:r>
      <w:hyperlink w:history="0" w:anchor="P126" w:tooltip="Основаниями для признания конкурса несостоявшимся являются:">
        <w:r>
          <w:rPr>
            <w:sz w:val="20"/>
            <w:color w:val="0000ff"/>
          </w:rPr>
          <w:t xml:space="preserve">абзацах девятом</w:t>
        </w:r>
      </w:hyperlink>
      <w:r>
        <w:rPr>
          <w:sz w:val="20"/>
        </w:rPr>
        <w:t xml:space="preserve"> - </w:t>
      </w:r>
      <w:hyperlink w:history="0" w:anchor="P128"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пунктом 32</w:t>
        </w:r>
      </w:hyperlink>
      <w:r>
        <w:rPr>
          <w:sz w:val="20"/>
        </w:rPr>
        <w:t xml:space="preserve"> настоящего Положения, уполномоченный орган организует проведение дополнительного конкурса в порядке, предусмотренном </w:t>
      </w:r>
      <w:hyperlink w:history="0" w:anchor="P156" w:tooltip="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
        <w:r>
          <w:rPr>
            <w:sz w:val="20"/>
            <w:color w:val="0000ff"/>
          </w:rPr>
          <w:t xml:space="preserve">пунктом 13</w:t>
        </w:r>
      </w:hyperlink>
      <w:r>
        <w:rPr>
          <w:sz w:val="20"/>
        </w:rPr>
        <w:t xml:space="preserve"> настоящего Положения.</w:t>
      </w:r>
    </w:p>
    <w:p>
      <w:pPr>
        <w:pStyle w:val="0"/>
        <w:spacing w:before="200" w:lineRule="auto"/>
        <w:ind w:firstLine="540"/>
        <w:jc w:val="both"/>
      </w:pPr>
      <w:r>
        <w:rPr>
          <w:sz w:val="20"/>
        </w:rPr>
        <w:t xml:space="preserve">Объявление о проведении дополнительного конкурса размещается (публикуется) не позднее чем за 1 рабочий день до начала срока приема заявок, но не позднее 5 ноября текущего финансового года и содержит информацию, предусмотренную </w:t>
      </w:r>
      <w:hyperlink w:history="0" w:anchor="P95" w:tooltip="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пунктом 8</w:t>
        </w:r>
      </w:hyperlink>
      <w:r>
        <w:rPr>
          <w:sz w:val="20"/>
        </w:rPr>
        <w:t xml:space="preserve"> настоящего Положения.</w:t>
      </w:r>
    </w:p>
    <w:p>
      <w:pPr>
        <w:pStyle w:val="0"/>
        <w:spacing w:before="200" w:lineRule="auto"/>
        <w:ind w:firstLine="540"/>
        <w:jc w:val="both"/>
      </w:pPr>
      <w:r>
        <w:rPr>
          <w:sz w:val="20"/>
        </w:rPr>
        <w:t xml:space="preserve">Размещение уполномоченным органом объявления об отмене проведения (о признании несостоявшимся) конкурса на Сайте и в ГИИС "Электронный бюджет" допускается в течение 5 рабочих дней, следующих за днем, фактически подтверждающим наличие оснований, указанных в </w:t>
      </w:r>
      <w:hyperlink w:history="0" w:anchor="P123" w:tooltip="Основаниями для отмены проведения конкурса являются:">
        <w:r>
          <w:rPr>
            <w:sz w:val="20"/>
            <w:color w:val="0000ff"/>
          </w:rPr>
          <w:t xml:space="preserve">абзацах шестом</w:t>
        </w:r>
      </w:hyperlink>
      <w:r>
        <w:rPr>
          <w:sz w:val="20"/>
        </w:rPr>
        <w:t xml:space="preserve"> - </w:t>
      </w:r>
      <w:hyperlink w:history="0" w:anchor="P128"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но не позднее срока размещения на едином портале и Сайте протокола подведения итогов конкурса.</w:t>
      </w:r>
    </w:p>
    <w:p>
      <w:pPr>
        <w:pStyle w:val="0"/>
        <w:spacing w:before="200" w:lineRule="auto"/>
        <w:ind w:firstLine="540"/>
        <w:jc w:val="both"/>
      </w:pPr>
      <w:r>
        <w:rPr>
          <w:sz w:val="20"/>
        </w:rPr>
        <w:t xml:space="preserve">Подписанное руководителем уполномоченного органа объявление об отмене проведения (о признании несостоявшимся) конкурса с указанием причин на бумажном носителе, преобразованное в электронную форму путем сканирования, размещается на Сайте.</w:t>
      </w:r>
    </w:p>
    <w:p>
      <w:pPr>
        <w:pStyle w:val="0"/>
        <w:spacing w:before="200" w:lineRule="auto"/>
        <w:ind w:firstLine="540"/>
        <w:jc w:val="both"/>
      </w:pPr>
      <w:r>
        <w:rPr>
          <w:sz w:val="20"/>
        </w:rPr>
        <w:t xml:space="preserve">Объявление об отмене проведения (о признании несостоявшимся) конкурса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размещается на едином портале и содержит информацию о причинах отмены проведения (о признании несостоявшимся) конкурса.</w:t>
      </w:r>
    </w:p>
    <w:bookmarkStart w:id="123" w:name="P123"/>
    <w:bookmarkEnd w:id="123"/>
    <w:p>
      <w:pPr>
        <w:pStyle w:val="0"/>
        <w:spacing w:before="200" w:lineRule="auto"/>
        <w:ind w:firstLine="540"/>
        <w:jc w:val="both"/>
      </w:pPr>
      <w:r>
        <w:rPr>
          <w:sz w:val="20"/>
        </w:rPr>
        <w:t xml:space="preserve">Основаниями для отмены проведения конкурса являются:</w:t>
      </w:r>
    </w:p>
    <w:p>
      <w:pPr>
        <w:pStyle w:val="0"/>
        <w:spacing w:before="200" w:lineRule="auto"/>
        <w:ind w:firstLine="540"/>
        <w:jc w:val="both"/>
      </w:pPr>
      <w:r>
        <w:rPr>
          <w:sz w:val="20"/>
        </w:rPr>
        <w:t xml:space="preserve">уменьшение главному распорядителю ранее доведенных лимитов бюджетных обязательств, направляемых на предоставление субсидии, приводящее к невозможности проведения конкурса в текущем финансовом году;</w:t>
      </w:r>
    </w:p>
    <w:p>
      <w:pPr>
        <w:pStyle w:val="0"/>
        <w:spacing w:before="200" w:lineRule="auto"/>
        <w:ind w:firstLine="540"/>
        <w:jc w:val="both"/>
      </w:pPr>
      <w:r>
        <w:rPr>
          <w:sz w:val="20"/>
        </w:rPr>
        <w:t xml:space="preserve">необходимость изменения условий и требований проведения конкурса, условий предоставления субсидии, связанных с изменениями действующего законодательства.</w:t>
      </w:r>
    </w:p>
    <w:bookmarkStart w:id="126" w:name="P126"/>
    <w:bookmarkEnd w:id="126"/>
    <w:p>
      <w:pPr>
        <w:pStyle w:val="0"/>
        <w:spacing w:before="200" w:lineRule="auto"/>
        <w:ind w:firstLine="540"/>
        <w:jc w:val="both"/>
      </w:pPr>
      <w:r>
        <w:rPr>
          <w:sz w:val="20"/>
        </w:rPr>
        <w:t xml:space="preserve">Основаниями для признания конкурса несостоявшимся являются:</w:t>
      </w:r>
    </w:p>
    <w:p>
      <w:pPr>
        <w:pStyle w:val="0"/>
        <w:spacing w:before="200" w:lineRule="auto"/>
        <w:ind w:firstLine="540"/>
        <w:jc w:val="both"/>
      </w:pPr>
      <w:r>
        <w:rPr>
          <w:sz w:val="20"/>
        </w:rPr>
        <w:t xml:space="preserve">по окончании срока подачи заявок, указанного в объявлении о проведении конкурса (дополнительного конкурса), не поступило ни одной заявки и (или) всеми участниками отбора заявки отозваны;</w:t>
      </w:r>
    </w:p>
    <w:bookmarkStart w:id="128" w:name="P128"/>
    <w:bookmarkEnd w:id="128"/>
    <w:p>
      <w:pPr>
        <w:pStyle w:val="0"/>
        <w:spacing w:before="200" w:lineRule="auto"/>
        <w:ind w:firstLine="540"/>
        <w:jc w:val="both"/>
      </w:pPr>
      <w:r>
        <w:rPr>
          <w:sz w:val="20"/>
        </w:rPr>
        <w:t xml:space="preserve">по результатам рассмотрения и оценки отклонены все заявки.</w:t>
      </w:r>
    </w:p>
    <w:p>
      <w:pPr>
        <w:pStyle w:val="0"/>
        <w:spacing w:before="200" w:lineRule="auto"/>
        <w:ind w:firstLine="540"/>
        <w:jc w:val="both"/>
      </w:pPr>
      <w:r>
        <w:rPr>
          <w:sz w:val="20"/>
        </w:rPr>
        <w:t xml:space="preserve">Участников отбора, подавших заявки, уполномоченный орган информирует об отмене проведения (о признании несостоявшимся) конкурса в ГИИС "Электронный бюджет".</w:t>
      </w:r>
    </w:p>
    <w:bookmarkStart w:id="130" w:name="P130"/>
    <w:bookmarkEnd w:id="130"/>
    <w:p>
      <w:pPr>
        <w:pStyle w:val="0"/>
        <w:spacing w:before="200" w:lineRule="auto"/>
        <w:ind w:firstLine="540"/>
        <w:jc w:val="both"/>
      </w:pPr>
      <w:r>
        <w:rPr>
          <w:sz w:val="20"/>
        </w:rPr>
        <w:t xml:space="preserve">10. Субсидия предоставляется получателю субсидии, который соответствует следующим категориям:</w:t>
      </w:r>
    </w:p>
    <w:bookmarkStart w:id="131" w:name="P131"/>
    <w:bookmarkEnd w:id="131"/>
    <w:p>
      <w:pPr>
        <w:pStyle w:val="0"/>
        <w:spacing w:before="200" w:lineRule="auto"/>
        <w:ind w:firstLine="540"/>
        <w:jc w:val="both"/>
      </w:pPr>
      <w:r>
        <w:rPr>
          <w:sz w:val="20"/>
        </w:rPr>
        <w:t xml:space="preserve">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w:t>
      </w:r>
      <w:hyperlink w:history="0" r:id="rId6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N 209-ФЗ к малым предприятиям, в том числе к микропредприятиям, и средним предприятиям;</w:t>
      </w:r>
    </w:p>
    <w:p>
      <w:pPr>
        <w:pStyle w:val="0"/>
        <w:spacing w:before="200" w:lineRule="auto"/>
        <w:ind w:firstLine="540"/>
        <w:jc w:val="both"/>
      </w:pPr>
      <w:r>
        <w:rPr>
          <w:sz w:val="20"/>
        </w:rPr>
        <w:t xml:space="preserve">2) состоит в Едином реестре субъектов малого и среднего предпринимательства;</w:t>
      </w:r>
    </w:p>
    <w:p>
      <w:pPr>
        <w:pStyle w:val="0"/>
        <w:spacing w:before="200" w:lineRule="auto"/>
        <w:ind w:firstLine="540"/>
        <w:jc w:val="both"/>
      </w:pPr>
      <w:r>
        <w:rPr>
          <w:sz w:val="20"/>
        </w:rPr>
        <w:t xml:space="preserve">3) зарегистрирован в соответствии с действующим законодательством и осуществляет на территории муниципального образования городского округа города Красноярска Красноярского края виды предпринимательской деятельности в соответствии с </w:t>
      </w:r>
      <w:hyperlink w:history="0" r:id="rId6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за исключением видов деятельности, включенных в </w:t>
      </w:r>
      <w:hyperlink w:history="0" r:id="rId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 12 раздела C</w:t>
        </w:r>
      </w:hyperlink>
      <w:r>
        <w:rPr>
          <w:sz w:val="20"/>
        </w:rPr>
        <w:t xml:space="preserve">, </w:t>
      </w:r>
      <w:hyperlink w:history="0" r:id="rId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 92 раздела R</w:t>
        </w:r>
      </w:hyperlink>
      <w:r>
        <w:rPr>
          <w:sz w:val="20"/>
        </w:rPr>
        <w:t xml:space="preserve">, </w:t>
      </w:r>
      <w:hyperlink w:history="0" r:id="rId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разделы A</w:t>
        </w:r>
      </w:hyperlink>
      <w:r>
        <w:rPr>
          <w:sz w:val="20"/>
        </w:rPr>
        <w:t xml:space="preserve"> (кроме </w:t>
      </w:r>
      <w:hyperlink w:history="0" r:id="rId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классов 02</w:t>
        </w:r>
      </w:hyperlink>
      <w:r>
        <w:rPr>
          <w:sz w:val="20"/>
        </w:rPr>
        <w:t xml:space="preserve">, </w:t>
      </w:r>
      <w:hyperlink w:history="0" r:id="rId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03</w:t>
        </w:r>
      </w:hyperlink>
      <w:r>
        <w:rPr>
          <w:sz w:val="20"/>
        </w:rPr>
        <w:t xml:space="preserve">), </w:t>
      </w:r>
      <w:hyperlink w:history="0" r:id="rId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B</w:t>
        </w:r>
      </w:hyperlink>
      <w:r>
        <w:rPr>
          <w:sz w:val="20"/>
        </w:rPr>
        <w:t xml:space="preserve">, </w:t>
      </w:r>
      <w:hyperlink w:history="0" r:id="rId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D</w:t>
        </w:r>
      </w:hyperlink>
      <w:r>
        <w:rPr>
          <w:sz w:val="20"/>
        </w:rPr>
        <w:t xml:space="preserve">, </w:t>
      </w:r>
      <w:hyperlink w:history="0" r:id="rId7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E</w:t>
        </w:r>
      </w:hyperlink>
      <w:r>
        <w:rPr>
          <w:sz w:val="20"/>
        </w:rPr>
        <w:t xml:space="preserve"> (кроме </w:t>
      </w:r>
      <w:hyperlink w:history="0" r:id="rId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классов 38</w:t>
        </w:r>
      </w:hyperlink>
      <w:r>
        <w:rPr>
          <w:sz w:val="20"/>
        </w:rPr>
        <w:t xml:space="preserve">,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39</w:t>
        </w:r>
      </w:hyperlink>
      <w:r>
        <w:rPr>
          <w:sz w:val="20"/>
        </w:rPr>
        <w:t xml:space="preserve">),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G</w:t>
        </w:r>
      </w:hyperlink>
      <w:r>
        <w:rPr>
          <w:sz w:val="20"/>
        </w:rPr>
        <w:t xml:space="preserve">, </w:t>
      </w:r>
      <w:hyperlink w:history="0" r:id="rId7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K</w:t>
        </w:r>
      </w:hyperlink>
      <w:r>
        <w:rPr>
          <w:sz w:val="20"/>
        </w:rPr>
        <w:t xml:space="preserve">,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L</w:t>
        </w:r>
      </w:hyperlink>
      <w:r>
        <w:rPr>
          <w:sz w:val="20"/>
        </w:rPr>
        <w:t xml:space="preserve">, </w:t>
      </w:r>
      <w:hyperlink w:history="0" r:id="rId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M</w:t>
        </w:r>
      </w:hyperlink>
      <w:r>
        <w:rPr>
          <w:sz w:val="20"/>
        </w:rPr>
        <w:t xml:space="preserve">, </w:t>
      </w: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N</w:t>
        </w:r>
      </w:hyperlink>
      <w:r>
        <w:rPr>
          <w:sz w:val="20"/>
        </w:rPr>
        <w:t xml:space="preserve">, </w:t>
      </w:r>
      <w:hyperlink w:history="0" r:id="rId8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O</w:t>
        </w:r>
      </w:hyperlink>
      <w:r>
        <w:rPr>
          <w:sz w:val="20"/>
        </w:rPr>
        <w:t xml:space="preserve">, </w:t>
      </w:r>
      <w:hyperlink w:history="0" r:id="rId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S</w:t>
        </w:r>
      </w:hyperlink>
      <w:r>
        <w:rPr>
          <w:sz w:val="20"/>
        </w:rPr>
        <w:t xml:space="preserve"> (кроме </w:t>
      </w:r>
      <w:hyperlink w:history="0" r:id="rId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группы 96.04</w:t>
        </w:r>
      </w:hyperlink>
      <w:r>
        <w:rPr>
          <w:sz w:val="20"/>
        </w:rPr>
        <w:t xml:space="preserve">),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T</w:t>
        </w:r>
      </w:hyperlink>
      <w:r>
        <w:rPr>
          <w:sz w:val="20"/>
        </w:rPr>
        <w:t xml:space="preserve">,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U</w:t>
        </w:r>
      </w:hyperlink>
      <w:r>
        <w:rPr>
          <w:sz w:val="20"/>
        </w:rPr>
        <w:t xml:space="preserve">;</w:t>
      </w:r>
    </w:p>
    <w:bookmarkStart w:id="134" w:name="P134"/>
    <w:bookmarkEnd w:id="134"/>
    <w:p>
      <w:pPr>
        <w:pStyle w:val="0"/>
        <w:spacing w:before="200" w:lineRule="auto"/>
        <w:ind w:firstLine="540"/>
        <w:jc w:val="both"/>
      </w:pPr>
      <w:r>
        <w:rPr>
          <w:sz w:val="20"/>
        </w:rPr>
        <w:t xml:space="preserve">4) в отношении участника отбора в текущем финансовом году не было принято решение об оказании аналогичной поддержки или сроки ее оказания истекли;</w:t>
      </w:r>
    </w:p>
    <w:bookmarkStart w:id="135" w:name="P135"/>
    <w:bookmarkEnd w:id="135"/>
    <w:p>
      <w:pPr>
        <w:pStyle w:val="0"/>
        <w:spacing w:before="200" w:lineRule="auto"/>
        <w:ind w:firstLine="540"/>
        <w:jc w:val="both"/>
      </w:pPr>
      <w:r>
        <w:rPr>
          <w:sz w:val="20"/>
        </w:rPr>
        <w:t xml:space="preserve">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w:t>
      </w:r>
    </w:p>
    <w:bookmarkStart w:id="136" w:name="P136"/>
    <w:bookmarkEnd w:id="136"/>
    <w:p>
      <w:pPr>
        <w:pStyle w:val="0"/>
        <w:spacing w:before="200" w:lineRule="auto"/>
        <w:ind w:firstLine="540"/>
        <w:jc w:val="both"/>
      </w:pPr>
      <w:r>
        <w:rPr>
          <w:sz w:val="20"/>
        </w:rPr>
        <w:t xml:space="preserve">6) принял в случае получения субсидии обязательства, установленные </w:t>
      </w:r>
      <w:hyperlink w:history="0" w:anchor="P408" w:tooltip="38. Условиями предоставления субсидии являются принимаемые получателем субсидии следующие обязательства:">
        <w:r>
          <w:rPr>
            <w:sz w:val="20"/>
            <w:color w:val="0000ff"/>
          </w:rPr>
          <w:t xml:space="preserve">пунктом 38</w:t>
        </w:r>
      </w:hyperlink>
      <w:r>
        <w:rPr>
          <w:sz w:val="20"/>
        </w:rPr>
        <w:t xml:space="preserve"> настоящего Положения.</w:t>
      </w:r>
    </w:p>
    <w:bookmarkStart w:id="137" w:name="P137"/>
    <w:bookmarkEnd w:id="137"/>
    <w:p>
      <w:pPr>
        <w:pStyle w:val="0"/>
        <w:spacing w:before="200" w:lineRule="auto"/>
        <w:ind w:firstLine="540"/>
        <w:jc w:val="both"/>
      </w:pPr>
      <w:r>
        <w:rPr>
          <w:sz w:val="20"/>
        </w:rPr>
        <w:t xml:space="preserve">11. В соответствии с </w:t>
      </w:r>
      <w:hyperlink w:history="0" r:id="rId8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w:t>
      </w:r>
      <w:hyperlink w:history="0" r:id="rId8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4 статьи 14</w:t>
        </w:r>
      </w:hyperlink>
      <w:r>
        <w:rPr>
          <w:sz w:val="20"/>
        </w:rPr>
        <w:t xml:space="preserve"> Федерального закона N 209-ФЗ субсидия не может предоставляться в отношении участников отбора:</w:t>
      </w:r>
    </w:p>
    <w:p>
      <w:pPr>
        <w:pStyle w:val="0"/>
        <w:spacing w:before="200" w:lineRule="auto"/>
        <w:ind w:firstLine="540"/>
        <w:jc w:val="both"/>
      </w:pPr>
      <w:r>
        <w:rPr>
          <w:sz w:val="20"/>
        </w:rPr>
        <w:t xml:space="preserve">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0"/>
        <w:spacing w:before="200" w:lineRule="auto"/>
        <w:ind w:firstLine="540"/>
        <w:jc w:val="both"/>
      </w:pPr>
      <w:r>
        <w:rPr>
          <w:sz w:val="20"/>
        </w:rPr>
        <w:t xml:space="preserve">2) являющихся участниками соглашений о разделе продукции;</w:t>
      </w:r>
    </w:p>
    <w:p>
      <w:pPr>
        <w:pStyle w:val="0"/>
        <w:spacing w:before="200" w:lineRule="auto"/>
        <w:ind w:firstLine="540"/>
        <w:jc w:val="both"/>
      </w:pPr>
      <w:r>
        <w:rPr>
          <w:sz w:val="20"/>
        </w:rPr>
        <w:t xml:space="preserve">3) осуществляющих предпринимательскую деятельность в сфере игорного бизнеса;</w:t>
      </w:r>
    </w:p>
    <w:p>
      <w:pPr>
        <w:pStyle w:val="0"/>
        <w:spacing w:before="200" w:lineRule="auto"/>
        <w:ind w:firstLine="540"/>
        <w:jc w:val="both"/>
      </w:pPr>
      <w:r>
        <w:rPr>
          <w:sz w:val="20"/>
        </w:rPr>
        <w:t xml:space="preserve">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pPr>
        <w:pStyle w:val="0"/>
        <w:spacing w:before="200" w:lineRule="auto"/>
        <w:ind w:firstLine="540"/>
        <w:jc w:val="both"/>
      </w:pPr>
      <w:r>
        <w:rPr>
          <w:sz w:val="20"/>
        </w:rPr>
        <w:t xml:space="preserve">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w:t>
      </w:r>
    </w:p>
    <w:p>
      <w:pPr>
        <w:pStyle w:val="0"/>
        <w:jc w:val="both"/>
      </w:pPr>
      <w:r>
        <w:rPr>
          <w:sz w:val="20"/>
        </w:rPr>
        <w:t xml:space="preserve">(пп. 5 в ред. </w:t>
      </w:r>
      <w:hyperlink w:history="0" r:id="rId8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144" w:name="P144"/>
    <w:bookmarkEnd w:id="144"/>
    <w:p>
      <w:pPr>
        <w:pStyle w:val="0"/>
        <w:spacing w:before="200" w:lineRule="auto"/>
        <w:ind w:firstLine="540"/>
        <w:jc w:val="both"/>
      </w:pPr>
      <w:r>
        <w:rPr>
          <w:sz w:val="20"/>
        </w:rPr>
        <w:t xml:space="preserve">12. Требования, которым должен соответствовать участник отбора (получатель субсидии) по состоянию на даты рассмотрения заявки и заключения соглашения:</w:t>
      </w:r>
    </w:p>
    <w:bookmarkStart w:id="145" w:name="P145"/>
    <w:bookmarkEnd w:id="145"/>
    <w:p>
      <w:pPr>
        <w:pStyle w:val="0"/>
        <w:spacing w:before="200" w:lineRule="auto"/>
        <w:ind w:firstLine="540"/>
        <w:jc w:val="both"/>
      </w:pPr>
      <w:r>
        <w:rPr>
          <w:sz w:val="20"/>
        </w:rPr>
        <w:t xml:space="preserve">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bookmarkStart w:id="146" w:name="P146"/>
    <w:bookmarkEnd w:id="146"/>
    <w:p>
      <w:pPr>
        <w:pStyle w:val="0"/>
        <w:spacing w:before="200" w:lineRule="auto"/>
        <w:ind w:firstLine="540"/>
        <w:jc w:val="both"/>
      </w:pPr>
      <w:r>
        <w:rPr>
          <w:sz w:val="20"/>
        </w:rPr>
        <w:t xml:space="preserve">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bookmarkStart w:id="147" w:name="P147"/>
    <w:bookmarkEnd w:id="147"/>
    <w:p>
      <w:pPr>
        <w:pStyle w:val="0"/>
        <w:spacing w:before="200" w:lineRule="auto"/>
        <w:ind w:firstLine="540"/>
        <w:jc w:val="both"/>
      </w:pPr>
      <w:r>
        <w:rPr>
          <w:sz w:val="20"/>
        </w:rPr>
        <w:t xml:space="preserve">3) не находится в составляемых в рамках реализации полномочий, предусмотренных </w:t>
      </w:r>
      <w:hyperlink w:history="0" r:id="rId8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48" w:name="P148"/>
    <w:bookmarkEnd w:id="148"/>
    <w:p>
      <w:pPr>
        <w:pStyle w:val="0"/>
        <w:spacing w:before="200" w:lineRule="auto"/>
        <w:ind w:firstLine="540"/>
        <w:jc w:val="both"/>
      </w:pPr>
      <w:r>
        <w:rPr>
          <w:sz w:val="20"/>
        </w:rPr>
        <w:t xml:space="preserve">4) не получает средства из бюджета города Красноярска,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Положением;</w:t>
      </w:r>
    </w:p>
    <w:bookmarkStart w:id="149" w:name="P149"/>
    <w:bookmarkEnd w:id="149"/>
    <w:p>
      <w:pPr>
        <w:pStyle w:val="0"/>
        <w:spacing w:before="200" w:lineRule="auto"/>
        <w:ind w:firstLine="540"/>
        <w:jc w:val="both"/>
      </w:pPr>
      <w:r>
        <w:rPr>
          <w:sz w:val="20"/>
        </w:rPr>
        <w:t xml:space="preserve">5) не является иностранным агентом в соответствии с Федеральным </w:t>
      </w:r>
      <w:hyperlink w:history="0" r:id="rId89"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w:t>
      </w:r>
    </w:p>
    <w:bookmarkStart w:id="150" w:name="P150"/>
    <w:bookmarkEnd w:id="150"/>
    <w:p>
      <w:pPr>
        <w:pStyle w:val="0"/>
        <w:spacing w:before="200" w:lineRule="auto"/>
        <w:ind w:firstLine="540"/>
        <w:jc w:val="both"/>
      </w:pPr>
      <w:r>
        <w:rPr>
          <w:sz w:val="20"/>
        </w:rPr>
        <w:t xml:space="preserve">6) на его едином налоговом счете отсутствует или не превышает размер, определенный </w:t>
      </w:r>
      <w:hyperlink w:history="0" r:id="rId90"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Start w:id="151" w:name="P151"/>
    <w:bookmarkEnd w:id="151"/>
    <w:p>
      <w:pPr>
        <w:pStyle w:val="0"/>
        <w:spacing w:before="200" w:lineRule="auto"/>
        <w:ind w:firstLine="540"/>
        <w:jc w:val="both"/>
      </w:pPr>
      <w:r>
        <w:rPr>
          <w:sz w:val="20"/>
        </w:rPr>
        <w:t xml:space="preserve">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местной администрацией);</w:t>
      </w:r>
    </w:p>
    <w:p>
      <w:pPr>
        <w:pStyle w:val="0"/>
        <w:jc w:val="both"/>
      </w:pPr>
      <w:r>
        <w:rPr>
          <w:sz w:val="20"/>
        </w:rPr>
        <w:t xml:space="preserve">(пп. 7 в ред. </w:t>
      </w:r>
      <w:hyperlink w:history="0" r:id="rId9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153" w:name="P153"/>
    <w:bookmarkEnd w:id="153"/>
    <w:p>
      <w:pPr>
        <w:pStyle w:val="0"/>
        <w:spacing w:before="200" w:lineRule="auto"/>
        <w:ind w:firstLine="540"/>
        <w:jc w:val="both"/>
      </w:pPr>
      <w:r>
        <w:rPr>
          <w:sz w:val="20"/>
        </w:rPr>
        <w:t xml:space="preserve">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w:t>
      </w:r>
    </w:p>
    <w:bookmarkStart w:id="154" w:name="P154"/>
    <w:bookmarkEnd w:id="154"/>
    <w:p>
      <w:pPr>
        <w:pStyle w:val="0"/>
        <w:spacing w:before="200" w:lineRule="auto"/>
        <w:ind w:firstLine="540"/>
        <w:jc w:val="both"/>
      </w:pPr>
      <w:r>
        <w:rPr>
          <w:sz w:val="20"/>
        </w:rPr>
        <w:t xml:space="preserve">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в реестре дисквалифицированных лиц отсутствуют сведения о дисквалифицированном индивидуальном предпринимателе - производителе товаров, работ, услуг;</w:t>
      </w:r>
    </w:p>
    <w:bookmarkStart w:id="155" w:name="P155"/>
    <w:bookmarkEnd w:id="155"/>
    <w:p>
      <w:pPr>
        <w:pStyle w:val="0"/>
        <w:spacing w:before="200" w:lineRule="auto"/>
        <w:ind w:firstLine="540"/>
        <w:jc w:val="both"/>
      </w:pPr>
      <w:r>
        <w:rPr>
          <w:sz w:val="20"/>
        </w:rPr>
        <w:t xml:space="preserve">10) о нем отсутствует информация (истек срок действия информации) о совершенном нарушении порядка и условий оказания поддержки на основании положений </w:t>
      </w:r>
      <w:hyperlink w:history="0" r:id="rId92"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пункта 4 части 5 статьи 14</w:t>
        </w:r>
      </w:hyperlink>
      <w:r>
        <w:rPr>
          <w:sz w:val="20"/>
        </w:rPr>
        <w:t xml:space="preserve"> Федерального закона N 209-ФЗ.</w:t>
      </w:r>
    </w:p>
    <w:bookmarkStart w:id="156" w:name="P156"/>
    <w:bookmarkEnd w:id="156"/>
    <w:p>
      <w:pPr>
        <w:pStyle w:val="0"/>
        <w:spacing w:before="200" w:lineRule="auto"/>
        <w:ind w:firstLine="540"/>
        <w:jc w:val="both"/>
      </w:pPr>
      <w:r>
        <w:rPr>
          <w:sz w:val="20"/>
        </w:rPr>
        <w:t xml:space="preserve">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w:t>
      </w:r>
    </w:p>
    <w:p>
      <w:pPr>
        <w:pStyle w:val="0"/>
        <w:spacing w:before="200" w:lineRule="auto"/>
        <w:ind w:firstLine="540"/>
        <w:jc w:val="both"/>
      </w:pPr>
      <w:r>
        <w:rPr>
          <w:sz w:val="20"/>
        </w:rPr>
        <w:t xml:space="preserve">1) организует проведение конкурса в случае наличия в бюджете города средств, предусмотренных для предоставления субсидии в текущем финансовом году, устанавливает сроки проведения конкурса;</w:t>
      </w:r>
    </w:p>
    <w:p>
      <w:pPr>
        <w:pStyle w:val="0"/>
        <w:spacing w:before="200" w:lineRule="auto"/>
        <w:ind w:firstLine="540"/>
        <w:jc w:val="both"/>
      </w:pPr>
      <w:r>
        <w:rPr>
          <w:sz w:val="20"/>
        </w:rPr>
        <w:t xml:space="preserve">2) организует подписание усиленной квалифицированной электронной подписью руководителя уполномоченного органа, конкурсной комиссии в ГИИС "Электронный бюджет" автоматически формируемых на едином портале протокола вскрытия заявок, протокола рассмотрения заявок, протокола подведения итогов конкурса;</w:t>
      </w:r>
    </w:p>
    <w:p>
      <w:pPr>
        <w:pStyle w:val="0"/>
        <w:spacing w:before="200" w:lineRule="auto"/>
        <w:ind w:firstLine="540"/>
        <w:jc w:val="both"/>
      </w:pPr>
      <w:r>
        <w:rPr>
          <w:sz w:val="20"/>
        </w:rPr>
        <w:t xml:space="preserve">3) обеспечивает работу конкурсной комиссии, включая информирование, в том числе в ГИИС "Электронный бюджет", о результатах проверки участников отбора (получателей субсидии) в соответствии с </w:t>
      </w:r>
      <w:hyperlink w:history="0" w:anchor="P321"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 о размещении формы оценочной ведомости для заполнения членами конкурсной комиссии по каждой заявке; формирование на основании оценочных ведомостей членов конкурсной комиссии результатов рассмотрения заявок и результатов определения конкурсной комиссией победителя (победителей) конкурса и размеров предоставляемой субсидии каждому победителю конкурса (получателю субсидии); организацию подписания протокола вскрытия заявок, протокола рассмотрения заявок, протокола подведения итогов конкурса;</w:t>
      </w:r>
    </w:p>
    <w:bookmarkStart w:id="160" w:name="P160"/>
    <w:bookmarkEnd w:id="160"/>
    <w:p>
      <w:pPr>
        <w:pStyle w:val="0"/>
        <w:spacing w:before="200" w:lineRule="auto"/>
        <w:ind w:firstLine="540"/>
        <w:jc w:val="both"/>
      </w:pPr>
      <w:r>
        <w:rPr>
          <w:sz w:val="20"/>
        </w:rPr>
        <w:t xml:space="preserve">4) в сроки, установленные </w:t>
      </w:r>
      <w:hyperlink w:history="0" w:anchor="P95" w:tooltip="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пунктами 8</w:t>
        </w:r>
      </w:hyperlink>
      <w:r>
        <w:rPr>
          <w:sz w:val="20"/>
        </w:rPr>
        <w:t xml:space="preserve">, </w:t>
      </w:r>
      <w:hyperlink w:history="0" w:anchor="P118" w:tooltip="9. В случае признания конкурса несостоявшимся по основаниям, указанным в абзацах девятом - одиннадцатом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пунктом 32 настоящего Положения, уполномоченный орган организует прове...">
        <w:r>
          <w:rPr>
            <w:sz w:val="20"/>
            <w:color w:val="0000ff"/>
          </w:rPr>
          <w:t xml:space="preserve">9</w:t>
        </w:r>
      </w:hyperlink>
      <w:r>
        <w:rPr>
          <w:sz w:val="20"/>
        </w:rPr>
        <w:t xml:space="preserve">, </w:t>
      </w:r>
      <w:hyperlink w:history="0" w:anchor="P252"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18</w:t>
        </w:r>
      </w:hyperlink>
      <w:r>
        <w:rPr>
          <w:sz w:val="20"/>
        </w:rPr>
        <w:t xml:space="preserve">, </w:t>
      </w:r>
      <w:hyperlink w:history="0" w:anchor="P267" w:tooltip="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абзацем первым пункта 18 настоящего Положения, в следующем порядке:">
        <w:r>
          <w:rPr>
            <w:sz w:val="20"/>
            <w:color w:val="0000ff"/>
          </w:rPr>
          <w:t xml:space="preserve">20</w:t>
        </w:r>
      </w:hyperlink>
      <w:r>
        <w:rPr>
          <w:sz w:val="20"/>
        </w:rPr>
        <w:t xml:space="preserve">, </w:t>
      </w:r>
      <w:hyperlink w:history="0" w:anchor="P313"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Сайте;</w:t>
      </w:r>
    </w:p>
    <w:bookmarkStart w:id="162" w:name="P162"/>
    <w:bookmarkEnd w:id="162"/>
    <w:p>
      <w:pPr>
        <w:pStyle w:val="0"/>
        <w:spacing w:before="200" w:lineRule="auto"/>
        <w:ind w:firstLine="540"/>
        <w:jc w:val="both"/>
      </w:pPr>
      <w:r>
        <w:rPr>
          <w:sz w:val="20"/>
        </w:rPr>
        <w:t xml:space="preserve">5) организует информирование участников отбора по вопросам разъяснения положений объявления о проведении конкурса в порядке, установленном </w:t>
      </w:r>
      <w:hyperlink w:history="0" w:anchor="P179"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81"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в течение срока приема заявок, установленного в объявлении о проведении конкурса;</w:t>
      </w:r>
    </w:p>
    <w:p>
      <w:pPr>
        <w:pStyle w:val="0"/>
        <w:spacing w:before="200" w:lineRule="auto"/>
        <w:ind w:firstLine="540"/>
        <w:jc w:val="both"/>
      </w:pPr>
      <w:r>
        <w:rPr>
          <w:sz w:val="20"/>
        </w:rPr>
        <w:t xml:space="preserve">6) уведомляет участников отбора (получателей субсидии) о принятых решениях в порядке и в сроки, установленные </w:t>
      </w:r>
      <w:hyperlink w:history="0" w:anchor="P173"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пунктами 15</w:t>
        </w:r>
      </w:hyperlink>
      <w:r>
        <w:rPr>
          <w:sz w:val="20"/>
        </w:rPr>
        <w:t xml:space="preserve">, </w:t>
      </w:r>
      <w:hyperlink w:history="0" w:anchor="P350" w:tooltip="28. Уполномоченный орган на основании протокола подведения итогов конкурса в течение 2 рабочих дней, следующих за датой формирования на едином портале протокола подведения итогов конкурса, направляет участникам отбора в ГИИС &quot;Электронный бюджет&quot; уведомления об отклонении заявки с указанием оснований, установленных пунктом 27 настоящего Положения.">
        <w:r>
          <w:rPr>
            <w:sz w:val="20"/>
            <w:color w:val="0000ff"/>
          </w:rPr>
          <w:t xml:space="preserve">28</w:t>
        </w:r>
      </w:hyperlink>
      <w:r>
        <w:rPr>
          <w:sz w:val="20"/>
        </w:rPr>
        <w:t xml:space="preserve">, </w:t>
      </w:r>
      <w:hyperlink w:history="0" w:anchor="P353" w:tooltip="30. Уполномоченный орган в течение 2 рабочих дней со дня, следующего за днем вступления в силу правового акта о предоставлении субсидии, указанного в пункте 29 настоящего Положения, с использованием ГИИС &quot;Электронный бюджет&quot; уведомляет получателей субсидии:">
        <w:r>
          <w:rPr>
            <w:sz w:val="20"/>
            <w:color w:val="0000ff"/>
          </w:rPr>
          <w:t xml:space="preserve">30</w:t>
        </w:r>
      </w:hyperlink>
      <w:r>
        <w:rPr>
          <w:sz w:val="20"/>
        </w:rPr>
        <w:t xml:space="preserve">, </w:t>
      </w:r>
      <w:hyperlink w:history="0" w:anchor="P421" w:tooltip="42. Уполномоченный орган размещает соглашение в ГИИС &quot;Электронный бюджет&quot;, получатель субсидии автоматически получает уведомление о его размещении в ГИИС &quot;Электронный бюджет&quot; в течение 20 рабочих дней, следующих за днем вступления в силу правового акта о предоставлении субсидии, указанного в пункте 29 настоящего Положения.">
        <w:r>
          <w:rPr>
            <w:sz w:val="20"/>
            <w:color w:val="0000ff"/>
          </w:rPr>
          <w:t xml:space="preserve">42</w:t>
        </w:r>
      </w:hyperlink>
      <w:r>
        <w:rPr>
          <w:sz w:val="20"/>
        </w:rPr>
        <w:t xml:space="preserve">, </w:t>
      </w:r>
      <w:hyperlink w:history="0" w:anchor="P487"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spacing w:before="200" w:lineRule="auto"/>
        <w:ind w:firstLine="540"/>
        <w:jc w:val="both"/>
      </w:pPr>
      <w:r>
        <w:rPr>
          <w:sz w:val="20"/>
        </w:rPr>
        <w:t xml:space="preserve">7) осуществляет проверку соответствия участника отбора категориям получателей субсидии и требованиям к участникам отбора, установленные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проверку соответствия участника отбора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том числе на основании сведений, полученных в рамках межведомственного информационного (электронного) взаимодействия с государственными органами, органами местного самоуправления, подведомственными им организациями в соответствии с </w:t>
      </w:r>
      <w:hyperlink w:history="0" w:anchor="P321"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w:t>
      </w:r>
    </w:p>
    <w:p>
      <w:pPr>
        <w:pStyle w:val="0"/>
        <w:spacing w:before="200" w:lineRule="auto"/>
        <w:ind w:firstLine="540"/>
        <w:jc w:val="both"/>
      </w:pPr>
      <w:r>
        <w:rPr>
          <w:sz w:val="20"/>
        </w:rPr>
        <w:t xml:space="preserve">8) на основании протокола подведения итогов конкурса готовит проект правового акта администрации города о предоставлении субсидии.</w:t>
      </w:r>
    </w:p>
    <w:bookmarkStart w:id="166" w:name="P166"/>
    <w:bookmarkEnd w:id="166"/>
    <w:p>
      <w:pPr>
        <w:pStyle w:val="0"/>
        <w:spacing w:before="200" w:lineRule="auto"/>
        <w:ind w:firstLine="540"/>
        <w:jc w:val="both"/>
      </w:pPr>
      <w:r>
        <w:rPr>
          <w:sz w:val="20"/>
        </w:rPr>
        <w:t xml:space="preserve">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установленных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пунктом 17</w:t>
        </w:r>
      </w:hyperlink>
      <w:r>
        <w:rPr>
          <w:sz w:val="20"/>
        </w:rPr>
        <w:t xml:space="preserve"> настоящего Положения.</w:t>
      </w:r>
    </w:p>
    <w:p>
      <w:pPr>
        <w:pStyle w:val="0"/>
        <w:spacing w:before="200" w:lineRule="auto"/>
        <w:ind w:firstLine="540"/>
        <w:jc w:val="both"/>
      </w:pPr>
      <w:r>
        <w:rPr>
          <w:sz w:val="20"/>
        </w:rPr>
        <w:t xml:space="preserve">Заявка должна содержать информацию об участнике отбора с приложением документов, подтверждающих соответствие участника отбора требованиям настоящего Положения, предлагаемые участником отбора значения результатов предоставления субсидии и размер запрашиваемой субсидии, информацию по каждому критерию оценки, сведения и документы, подтверждающие информацию по каждому критерию оценки.</w:t>
      </w:r>
    </w:p>
    <w:p>
      <w:pPr>
        <w:pStyle w:val="0"/>
        <w:spacing w:before="200" w:lineRule="auto"/>
        <w:ind w:firstLine="540"/>
        <w:jc w:val="both"/>
      </w:pPr>
      <w:r>
        <w:rPr>
          <w:sz w:val="20"/>
        </w:rPr>
        <w:t xml:space="preserve">Электронные копии документов, включаемые в заявку, должны быть хорошо читаемы и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jc w:val="both"/>
      </w:pPr>
      <w:r>
        <w:rPr>
          <w:sz w:val="20"/>
        </w:rPr>
        <w:t xml:space="preserve">(в ред. </w:t>
      </w:r>
      <w:hyperlink w:history="0" r:id="rId9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Заявка, сформированная в порядке, указанном в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абзаце первом</w:t>
        </w:r>
      </w:hyperlink>
      <w:r>
        <w:rPr>
          <w:sz w:val="20"/>
        </w:rPr>
        <w:t xml:space="preserve"> настоящего пункта,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pPr>
        <w:pStyle w:val="0"/>
        <w:spacing w:before="200" w:lineRule="auto"/>
        <w:ind w:firstLine="540"/>
        <w:jc w:val="both"/>
      </w:pPr>
      <w:r>
        <w:rPr>
          <w:sz w:val="20"/>
        </w:rPr>
        <w:t xml:space="preserve">Для участия в конкурсе (дополнительном конкурсе) участник отбора может подать одну заявку.</w:t>
      </w:r>
    </w:p>
    <w:p>
      <w:pPr>
        <w:pStyle w:val="0"/>
        <w:spacing w:before="200" w:lineRule="auto"/>
        <w:ind w:firstLine="540"/>
        <w:jc w:val="both"/>
      </w:pPr>
      <w:r>
        <w:rPr>
          <w:sz w:val="20"/>
        </w:rPr>
        <w:t xml:space="preserve">Участник отбора несет ответственность за достоверность указанных в заявке сведений в соответствии с действующим законодательством Российской Федерации.</w:t>
      </w:r>
    </w:p>
    <w:bookmarkStart w:id="173" w:name="P173"/>
    <w:bookmarkEnd w:id="173"/>
    <w:p>
      <w:pPr>
        <w:pStyle w:val="0"/>
        <w:spacing w:before="200" w:lineRule="auto"/>
        <w:ind w:firstLine="540"/>
        <w:jc w:val="both"/>
      </w:pPr>
      <w:r>
        <w:rPr>
          <w:sz w:val="20"/>
        </w:rPr>
        <w:t xml:space="preserve">15. Датой представления участником отбора заявки считается дата подписания им заявки с присвоением заявке регистрационного номера в ГИИС "Электронный бюджет".</w:t>
      </w:r>
    </w:p>
    <w:bookmarkStart w:id="174" w:name="P174"/>
    <w:bookmarkEnd w:id="174"/>
    <w:p>
      <w:pPr>
        <w:pStyle w:val="0"/>
        <w:spacing w:before="200" w:lineRule="auto"/>
        <w:ind w:firstLine="540"/>
        <w:jc w:val="both"/>
      </w:pPr>
      <w:r>
        <w:rPr>
          <w:sz w:val="20"/>
        </w:rPr>
        <w:t xml:space="preserve">В случае если дата представления участником отбора заявки зарегистрирована в порядке, указанном в </w:t>
      </w:r>
      <w:hyperlink w:history="0" w:anchor="P173"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абзаце первом</w:t>
        </w:r>
      </w:hyperlink>
      <w:r>
        <w:rPr>
          <w:sz w:val="20"/>
        </w:rPr>
        <w:t xml:space="preserve">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w:t>
      </w:r>
      <w:hyperlink w:history="0" w:anchor="P340" w:tooltip="1) подача участником отбора заявки после даты и (или) времени, определенных для подачи заявок;">
        <w:r>
          <w:rPr>
            <w:sz w:val="20"/>
            <w:color w:val="0000ff"/>
          </w:rPr>
          <w:t xml:space="preserve">подпункта 1 пункта 27</w:t>
        </w:r>
      </w:hyperlink>
      <w:r>
        <w:rPr>
          <w:sz w:val="20"/>
        </w:rPr>
        <w:t xml:space="preserve"> настоящего Положения в ГИИС "Электронный бюджет".</w:t>
      </w:r>
    </w:p>
    <w:bookmarkStart w:id="175" w:name="P175"/>
    <w:bookmarkEnd w:id="175"/>
    <w:p>
      <w:pPr>
        <w:pStyle w:val="0"/>
        <w:spacing w:before="200" w:lineRule="auto"/>
        <w:ind w:firstLine="540"/>
        <w:jc w:val="both"/>
      </w:pPr>
      <w:r>
        <w:rPr>
          <w:sz w:val="20"/>
        </w:rPr>
        <w:t xml:space="preserve">16. Участник отбора вправе отозвать заявку по собственной инициативе в личном кабинете в ГИИС "Электронный бюджет" не позднее даты окончания приема заявок, указанного в объявлении о проведении конкурса.</w:t>
      </w:r>
    </w:p>
    <w:p>
      <w:pPr>
        <w:pStyle w:val="0"/>
        <w:spacing w:before="200" w:lineRule="auto"/>
        <w:ind w:firstLine="540"/>
        <w:jc w:val="both"/>
      </w:pPr>
      <w:r>
        <w:rPr>
          <w:sz w:val="20"/>
        </w:rPr>
        <w:t xml:space="preserve">Возврат уполномоченным органом заявки участнику отбора на доработку не допускается.</w:t>
      </w:r>
    </w:p>
    <w:p>
      <w:pPr>
        <w:pStyle w:val="0"/>
        <w:spacing w:before="200" w:lineRule="auto"/>
        <w:ind w:firstLine="540"/>
        <w:jc w:val="both"/>
      </w:pPr>
      <w:r>
        <w:rPr>
          <w:sz w:val="20"/>
        </w:rPr>
        <w:t xml:space="preserve">Внесение участником отбора изменений в заявку осуществляется не позднее даты окончания срока приема заявок, указанного в объявлении о проведении конкурса, путем его отзыва и подачи новой заявки в порядке, аналогичном порядку формирования заявки, указанному в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пункте 14</w:t>
        </w:r>
      </w:hyperlink>
      <w:r>
        <w:rPr>
          <w:sz w:val="20"/>
        </w:rPr>
        <w:t xml:space="preserve"> настоящего Положения.</w:t>
      </w:r>
    </w:p>
    <w:p>
      <w:pPr>
        <w:pStyle w:val="0"/>
        <w:spacing w:before="200" w:lineRule="auto"/>
        <w:ind w:firstLine="540"/>
        <w:jc w:val="both"/>
      </w:pPr>
      <w:r>
        <w:rPr>
          <w:sz w:val="20"/>
        </w:rPr>
        <w:t xml:space="preserve">В случае внесения изменений в объявление о проведении конкурса после наступления даты начала приема заявок, участники отбора, подавшие заявки, имеют право внести изменения в представленные заявки.</w:t>
      </w:r>
    </w:p>
    <w:bookmarkStart w:id="179" w:name="P179"/>
    <w:bookmarkEnd w:id="179"/>
    <w:p>
      <w:pPr>
        <w:pStyle w:val="0"/>
        <w:spacing w:before="200" w:lineRule="auto"/>
        <w:ind w:firstLine="540"/>
        <w:jc w:val="both"/>
      </w:pPr>
      <w:r>
        <w:rPr>
          <w:sz w:val="20"/>
        </w:rPr>
        <w:t xml:space="preserve">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"Электронный бюджет" не позднее чем за 3 рабочих дня, предшествующих дню окончания приема заявок, указанному в объявлении о проведении конкурса.</w:t>
      </w:r>
    </w:p>
    <w:p>
      <w:pPr>
        <w:pStyle w:val="0"/>
        <w:spacing w:before="200" w:lineRule="auto"/>
        <w:ind w:firstLine="540"/>
        <w:jc w:val="both"/>
      </w:pPr>
      <w:r>
        <w:rPr>
          <w:sz w:val="20"/>
        </w:rPr>
        <w:t xml:space="preserve">Уполномоченный орган в ответ на полученные запросы формирует в ГИИС "Электронный бюджет" соответствующие разъяснения положений объявления о проведении конкурса не позднее чем за 1 рабочий день, предшествующий дню окончания приема заявок, указанному в объявлении о проведении конкурса. Представленные уполномоченным органом разъяснения положений объявления о проведении конкурса не должны изменять суть информации, содержащейся в указанном объявлении.</w:t>
      </w:r>
    </w:p>
    <w:bookmarkStart w:id="181" w:name="P181"/>
    <w:bookmarkEnd w:id="181"/>
    <w:p>
      <w:pPr>
        <w:pStyle w:val="0"/>
        <w:spacing w:before="200" w:lineRule="auto"/>
        <w:ind w:firstLine="540"/>
        <w:jc w:val="both"/>
      </w:pPr>
      <w:r>
        <w:rPr>
          <w:sz w:val="20"/>
        </w:rPr>
        <w:t xml:space="preserve">Доступ к разъяснениям, формируемым в ГИИС "Электронный бюджет", предоставляется всем участникам отбора.</w:t>
      </w:r>
    </w:p>
    <w:bookmarkStart w:id="182" w:name="P182"/>
    <w:bookmarkEnd w:id="182"/>
    <w:p>
      <w:pPr>
        <w:pStyle w:val="0"/>
        <w:spacing w:before="200" w:lineRule="auto"/>
        <w:ind w:firstLine="540"/>
        <w:jc w:val="both"/>
      </w:pPr>
      <w:r>
        <w:rPr>
          <w:sz w:val="20"/>
        </w:rPr>
        <w:t xml:space="preserve">17. Участник отбора для участия в конкурсе и получения субсидии в соответствии с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представляет заявку, включающую:</w:t>
      </w:r>
    </w:p>
    <w:p>
      <w:pPr>
        <w:pStyle w:val="0"/>
        <w:spacing w:before="200" w:lineRule="auto"/>
        <w:ind w:firstLine="540"/>
        <w:jc w:val="both"/>
      </w:pPr>
      <w:r>
        <w:rPr>
          <w:sz w:val="20"/>
        </w:rPr>
        <w:t xml:space="preserve">1) </w:t>
      </w:r>
      <w:hyperlink w:history="0" w:anchor="P516" w:tooltip="ЗАЯВЛЕНИЕ">
        <w:r>
          <w:rPr>
            <w:sz w:val="20"/>
            <w:color w:val="0000ff"/>
          </w:rPr>
          <w:t xml:space="preserve">заявление</w:t>
        </w:r>
      </w:hyperlink>
      <w:r>
        <w:rPr>
          <w:sz w:val="20"/>
        </w:rPr>
        <w:t xml:space="preserve"> на предоставление субсидии по форме в соответствии с приложением 1 к настоящему Положению (далее - заявление), включающее в том числе информацию об участнике отбора, предлагаемые участником отбора значения результатов предоставления субсидии, информацию по каждому критерию оценки при проведении конкурса;</w:t>
      </w:r>
    </w:p>
    <w:bookmarkStart w:id="184" w:name="P184"/>
    <w:bookmarkEnd w:id="184"/>
    <w:p>
      <w:pPr>
        <w:pStyle w:val="0"/>
        <w:spacing w:before="200" w:lineRule="auto"/>
        <w:ind w:firstLine="540"/>
        <w:jc w:val="both"/>
      </w:pPr>
      <w:r>
        <w:rPr>
          <w:sz w:val="20"/>
        </w:rPr>
        <w:t xml:space="preserve">2) </w:t>
      </w:r>
      <w:hyperlink w:history="0" w:anchor="P1142" w:tooltip="                                 СВЕДЕНИЯ">
        <w:r>
          <w:rPr>
            <w:sz w:val="20"/>
            <w:color w:val="0000ff"/>
          </w:rPr>
          <w:t xml:space="preserve">сведения</w:t>
        </w:r>
      </w:hyperlink>
      <w:r>
        <w:rPr>
          <w:sz w:val="20"/>
        </w:rPr>
        <w:t xml:space="preserve"> о реализации проекта, составленные по форме согласно приложению 2 к настоящему Положению или в произвольной форме, которые должны содержать:</w:t>
      </w:r>
    </w:p>
    <w:p>
      <w:pPr>
        <w:pStyle w:val="0"/>
        <w:spacing w:before="200" w:lineRule="auto"/>
        <w:ind w:firstLine="540"/>
        <w:jc w:val="both"/>
      </w:pPr>
      <w:r>
        <w:rPr>
          <w:sz w:val="20"/>
        </w:rPr>
        <w:t xml:space="preserve">краткое описание проекта: цель; сфера предпринимательской деятельности в соответствии с </w:t>
      </w:r>
      <w:hyperlink w:history="0" r:id="rId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описание товаров (работ, услуг) с указанием основных технических характеристик; описание технологии; сведения о безопасности применяемого сырья, об утилизации отходов; потребители товаров (работ, услуг); место ведения предпринимательской деятельности;</w:t>
      </w:r>
    </w:p>
    <w:p>
      <w:pPr>
        <w:pStyle w:val="0"/>
        <w:spacing w:before="200" w:lineRule="auto"/>
        <w:ind w:firstLine="540"/>
        <w:jc w:val="both"/>
      </w:pPr>
      <w:r>
        <w:rPr>
          <w:sz w:val="20"/>
        </w:rPr>
        <w:t xml:space="preserve">оценку имеющихся имущественных, информационных ресурсов для реализации проекта: перечень имеющегося недвижимого имущества (земельных участков, объектов капитального строительства); перечень имеющегося движимого имущества (оборудования, программного обеспечения, иного имущества); перечень введенных в эксплуатацию объектов капитального строительства с указанием вида деятельности в соответствии с </w:t>
      </w:r>
      <w:hyperlink w:history="0" r:id="rId9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по каждому наименованию; перечень приобретенного оборудования, разработанного и (или) приобретенного прикладного программного обеспечения с указанием вида деятельности в соответствии с </w:t>
      </w:r>
      <w:hyperlink w:history="0" r:id="rId9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по каждому наименованию имущества;</w:t>
      </w:r>
    </w:p>
    <w:p>
      <w:pPr>
        <w:pStyle w:val="0"/>
        <w:spacing w:before="200" w:lineRule="auto"/>
        <w:ind w:firstLine="540"/>
        <w:jc w:val="both"/>
      </w:pPr>
      <w:r>
        <w:rPr>
          <w:sz w:val="20"/>
        </w:rPr>
        <w:t xml:space="preserve">оценку имеющихся трудовых ресурсов для реализации проекта с информацией о численности работников у участника отбора (включая индивидуальных предпринимателей);</w:t>
      </w:r>
    </w:p>
    <w:p>
      <w:pPr>
        <w:pStyle w:val="0"/>
        <w:spacing w:before="200" w:lineRule="auto"/>
        <w:ind w:firstLine="540"/>
        <w:jc w:val="both"/>
      </w:pPr>
      <w:r>
        <w:rPr>
          <w:sz w:val="20"/>
        </w:rPr>
        <w:t xml:space="preserve">оценку имеющихся финансовых ресурсов для реализации проекта с обоснованием произведенных расходов по направлениям, установленным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и информацией о стоимости проекта;</w:t>
      </w:r>
    </w:p>
    <w:p>
      <w:pPr>
        <w:pStyle w:val="0"/>
        <w:spacing w:before="200" w:lineRule="auto"/>
        <w:ind w:firstLine="540"/>
        <w:jc w:val="both"/>
      </w:pPr>
      <w:r>
        <w:rPr>
          <w:sz w:val="20"/>
        </w:rPr>
        <w:t xml:space="preserve">информацию о размере запрашиваемой субсидии, об объеме доходов и расходов участника отбора, включая: доход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запасных частей, комплектующих;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w:t>
      </w:r>
    </w:p>
    <w:p>
      <w:pPr>
        <w:pStyle w:val="0"/>
        <w:spacing w:before="200" w:lineRule="auto"/>
        <w:ind w:firstLine="540"/>
        <w:jc w:val="both"/>
      </w:pPr>
      <w:r>
        <w:rPr>
          <w:sz w:val="20"/>
        </w:rPr>
        <w:t xml:space="preserve">показатели реализации проекта, которые определяются участником отбора по годам реализации проекта, включая плановые значения по состоянию на конец года подачи заявки и по состоянию на конец финансового года, следующего за годом подачи заявки, и оформляются по форме в соответствии с приложением к сведениям о реализации проекта;</w:t>
      </w:r>
    </w:p>
    <w:p>
      <w:pPr>
        <w:pStyle w:val="0"/>
        <w:spacing w:before="200" w:lineRule="auto"/>
        <w:ind w:firstLine="540"/>
        <w:jc w:val="both"/>
      </w:pPr>
      <w:r>
        <w:rPr>
          <w:sz w:val="20"/>
        </w:rPr>
        <w:t xml:space="preserve">3) копии документов, подтверждающих право владения (пользования) земельными участками и (или) объектами капитального строительства (право собственности или иные законные основания), используемыми участником отбора на цель, указанную в </w:t>
      </w:r>
      <w:hyperlink w:history="0" w:anchor="P62" w:tooltip="Цель предоставления субсидии - возмещение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 рамках муниципальной программы &quot;Создание условий для развития предпринимательства в городе Красноярске&quot;.">
        <w:r>
          <w:rPr>
            <w:sz w:val="20"/>
            <w:color w:val="0000ff"/>
          </w:rPr>
          <w:t xml:space="preserve">абзаце третьем пункта 1</w:t>
        </w:r>
      </w:hyperlink>
      <w:r>
        <w:rPr>
          <w:sz w:val="20"/>
        </w:rPr>
        <w:t xml:space="preserve"> настоящего Положения;</w:t>
      </w:r>
    </w:p>
    <w:bookmarkStart w:id="192" w:name="P192"/>
    <w:bookmarkEnd w:id="192"/>
    <w:p>
      <w:pPr>
        <w:pStyle w:val="0"/>
        <w:spacing w:before="200" w:lineRule="auto"/>
        <w:ind w:firstLine="540"/>
        <w:jc w:val="both"/>
      </w:pPr>
      <w:r>
        <w:rPr>
          <w:sz w:val="20"/>
        </w:rPr>
        <w:t xml:space="preserve">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5) копии счетов-фактур (счетов) и (или) товарных накладных, и (или) универсальных передаточных документов, и (или) актов приема-передачи, и (или) актов сверки, и (или) иных документов, подтверждающих произведенные расходы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6) копии платежных документов, подтверждающих оплату затрат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платежных поручений и (или) квитанций к приходным кассовым ордерам, и (или) кассовых (или товарных) чеков, и (или) иных документов, подтверждающих факт оплаты. В случае безналичных расчетов с использованием платежных карт прилагаются копии: кассового (или товарного) чека, банковского ордера формы 0401067, установленной </w:t>
      </w:r>
      <w:hyperlink w:history="0" r:id="rId97" w:tooltip="Указание Банка России от 24.12.2012 N 2945-У (ред. от 22.09.2022) &quot;О порядке составления и применения банковского ордера&quot; (Зарегистрировано в Минюсте России 18.02.2013 N 27163) {КонсультантПлюс}">
        <w:r>
          <w:rPr>
            <w:sz w:val="20"/>
            <w:color w:val="0000ff"/>
          </w:rPr>
          <w:t xml:space="preserve">Указанием</w:t>
        </w:r>
      </w:hyperlink>
      <w:r>
        <w:rPr>
          <w:sz w:val="20"/>
        </w:rPr>
        <w:t xml:space="preserve"> Центрального банка Российской Федерации от 24.12.2012 N 2945-У "О порядке составления и применения банковского ордера", выписки по расчетному или корреспондентскому счету, открытому участником отбора в учреждениях Центрального банка Российской Федерации или кредитных организациях;</w:t>
      </w:r>
    </w:p>
    <w:bookmarkStart w:id="195" w:name="P195"/>
    <w:bookmarkEnd w:id="195"/>
    <w:p>
      <w:pPr>
        <w:pStyle w:val="0"/>
        <w:spacing w:before="200" w:lineRule="auto"/>
        <w:ind w:firstLine="540"/>
        <w:jc w:val="both"/>
      </w:pPr>
      <w:r>
        <w:rPr>
          <w:sz w:val="20"/>
        </w:rPr>
        <w:t xml:space="preserve">7)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направленных на приобретение оборудования и (или) прикладного программного обеспечения, являющегося в соответствии со </w:t>
      </w:r>
      <w:hyperlink w:history="0" r:id="rId98" w:tooltip="&quot;Налоговый кодекс Российской Федерации (часть вторая)&quot; от 05.08.2000 N 117-ФЗ (ред. от 25.05.2026) (с изм. и доп., вступ. в силу с 01.07.2026) {КонсультантПлюс}">
        <w:r>
          <w:rPr>
            <w:sz w:val="20"/>
            <w:color w:val="0000ff"/>
          </w:rPr>
          <w:t xml:space="preserve">статьей 256</w:t>
        </w:r>
      </w:hyperlink>
      <w:r>
        <w:rPr>
          <w:sz w:val="20"/>
        </w:rPr>
        <w:t xml:space="preserve"> Налогового кодекса Российской Федерации амортизируемым имуществом, необходимо с документами, указанными в настоящем пункте, представить копию </w:t>
      </w:r>
      <w:hyperlink w:history="0" w:anchor="P1641" w:tooltip="                                    АКТ">
        <w:r>
          <w:rPr>
            <w:sz w:val="20"/>
            <w:color w:val="0000ff"/>
          </w:rPr>
          <w:t xml:space="preserve">акта</w:t>
        </w:r>
      </w:hyperlink>
      <w:r>
        <w:rPr>
          <w:sz w:val="20"/>
        </w:rPr>
        <w:t xml:space="preserve"> о вводе в эксплуатацию и установлении срока полезного использования имущества по форме, установленной приложением 3 к настоящему Положению, с приложением копий следующих документов: технических условий (технической документации) и (или) рекомендаций изготовителя (продавца, дилера, дистрибьютера), и (или) технического паспорта (паспорта), и (или) гарантийного талона, и (или) копии инструкции (руководства) по эксплуатации, содержащих информацию о сроке полезного использования, и (или)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w:t>
      </w:r>
    </w:p>
    <w:p>
      <w:pPr>
        <w:pStyle w:val="0"/>
        <w:spacing w:before="200" w:lineRule="auto"/>
        <w:ind w:firstLine="540"/>
        <w:jc w:val="both"/>
      </w:pPr>
      <w:r>
        <w:rPr>
          <w:sz w:val="20"/>
        </w:rPr>
        <w:t xml:space="preserve">Для обеспечения идентификации оборудования необходимо наличие сведений об его основных характеристиках и специфических параметрах:</w:t>
      </w:r>
    </w:p>
    <w:p>
      <w:pPr>
        <w:pStyle w:val="0"/>
        <w:spacing w:before="200" w:lineRule="auto"/>
        <w:ind w:firstLine="540"/>
        <w:jc w:val="both"/>
      </w:pPr>
      <w:r>
        <w:rPr>
          <w:sz w:val="20"/>
        </w:rPr>
        <w:t xml:space="preserve">наименование, марка, модель, год изготовления;</w:t>
      </w:r>
    </w:p>
    <w:p>
      <w:pPr>
        <w:pStyle w:val="0"/>
        <w:spacing w:before="200" w:lineRule="auto"/>
        <w:ind w:firstLine="540"/>
        <w:jc w:val="both"/>
      </w:pPr>
      <w:r>
        <w:rPr>
          <w:sz w:val="20"/>
        </w:rPr>
        <w:t xml:space="preserve">количество и единицы измерения;</w:t>
      </w:r>
    </w:p>
    <w:p>
      <w:pPr>
        <w:pStyle w:val="0"/>
        <w:spacing w:before="200" w:lineRule="auto"/>
        <w:ind w:firstLine="540"/>
        <w:jc w:val="both"/>
      </w:pPr>
      <w:r>
        <w:rPr>
          <w:sz w:val="20"/>
        </w:rPr>
        <w:t xml:space="preserve">общее описание и технические характеристики, основное предназначение;</w:t>
      </w:r>
    </w:p>
    <w:p>
      <w:pPr>
        <w:pStyle w:val="0"/>
        <w:spacing w:before="200" w:lineRule="auto"/>
        <w:ind w:firstLine="540"/>
        <w:jc w:val="both"/>
      </w:pPr>
      <w:r>
        <w:rPr>
          <w:sz w:val="20"/>
        </w:rPr>
        <w:t xml:space="preserve">специфические параметры: соответствие качества и комплектности требованиям государственных стандартов 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и руководство по эксплуатации в случае если оборудованием является технически сложный агрегат;</w:t>
      </w:r>
    </w:p>
    <w:p>
      <w:pPr>
        <w:pStyle w:val="0"/>
        <w:spacing w:before="200" w:lineRule="auto"/>
        <w:ind w:firstLine="540"/>
        <w:jc w:val="both"/>
      </w:pPr>
      <w:r>
        <w:rPr>
          <w:sz w:val="20"/>
        </w:rPr>
        <w:t xml:space="preserve">8)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направленных на строительство, реконструкцию объектов капитального строительства, включая затраты на их подключение к инженерной инфраструктуре,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hyperlink w:history="0" r:id="rId99"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разрешения</w:t>
        </w:r>
      </w:hyperlink>
      <w:r>
        <w:rPr>
          <w:sz w:val="20"/>
        </w:rPr>
        <w:t xml:space="preserve"> на строительство, </w:t>
      </w:r>
      <w:hyperlink w:history="0" r:id="rId100"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разрешения</w:t>
        </w:r>
      </w:hyperlink>
      <w:r>
        <w:rPr>
          <w:sz w:val="20"/>
        </w:rPr>
        <w:t xml:space="preserve"> на ввод объекта капитального строительства в эксплуатацию по формам, утвержденным Приказом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w:t>
      </w:r>
    </w:p>
    <w:p>
      <w:pPr>
        <w:pStyle w:val="0"/>
        <w:spacing w:before="200" w:lineRule="auto"/>
        <w:ind w:firstLine="540"/>
        <w:jc w:val="both"/>
      </w:pPr>
      <w:r>
        <w:rPr>
          <w:sz w:val="20"/>
        </w:rPr>
        <w:t xml:space="preserve">договоров, указанных в </w:t>
      </w:r>
      <w:hyperlink w:history="0" w:anchor="P192" w:tooltip="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пунктом 33 настоящего Положения;">
        <w:r>
          <w:rPr>
            <w:sz w:val="20"/>
            <w:color w:val="0000ff"/>
          </w:rPr>
          <w:t xml:space="preserve">подпункте 4</w:t>
        </w:r>
      </w:hyperlink>
      <w:r>
        <w:rPr>
          <w:sz w:val="20"/>
        </w:rPr>
        <w:t xml:space="preserve"> настоящего пункта, на выполнение работ по строительству и (или) реконструкции, по подключению к инженерной инфраструктуре объектов капитального строительства;</w:t>
      </w:r>
    </w:p>
    <w:p>
      <w:pPr>
        <w:pStyle w:val="0"/>
        <w:spacing w:before="200" w:lineRule="auto"/>
        <w:ind w:firstLine="540"/>
        <w:jc w:val="both"/>
      </w:pPr>
      <w:r>
        <w:rPr>
          <w:sz w:val="20"/>
        </w:rPr>
        <w:t xml:space="preserve">заключения государственной экспертизы о достоверности определения сметной стоимости строительства (реконструкции) для установления соответствия фактической стоимости выполненных работ или затрат на объект сметной стоимости, указанной в проектной или сметной документации, в случаях, когда проведение такой экспертизы предусмотрено законодательством Российской Федерации;</w:t>
      </w:r>
    </w:p>
    <w:p>
      <w:pPr>
        <w:pStyle w:val="0"/>
        <w:jc w:val="both"/>
      </w:pPr>
      <w:r>
        <w:rPr>
          <w:sz w:val="20"/>
        </w:rPr>
        <w:t xml:space="preserve">(в ред. </w:t>
      </w:r>
      <w:hyperlink w:history="0" r:id="rId10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актов о приемке выполненных работ, справок о стоимости выполненных работ и расходов по унифицированным формам N КС-2, N КС-3 или иным формам в соответствии с действующим законодательством, подтверждающим принятие заказчиком (участником отбора) перечня и стоимости фактически выполненных работ;</w:t>
      </w:r>
    </w:p>
    <w:p>
      <w:pPr>
        <w:pStyle w:val="0"/>
        <w:spacing w:before="200" w:lineRule="auto"/>
        <w:ind w:firstLine="540"/>
        <w:jc w:val="both"/>
      </w:pPr>
      <w:r>
        <w:rPr>
          <w:sz w:val="20"/>
        </w:rPr>
        <w:t xml:space="preserve">технического паспорта на объект капитального строительства и (или) технических паспортов до и после выполнения работ по реконструкции объекта капитального строительства;</w:t>
      </w:r>
    </w:p>
    <w:p>
      <w:pPr>
        <w:pStyle w:val="0"/>
        <w:spacing w:before="200" w:lineRule="auto"/>
        <w:ind w:firstLine="540"/>
        <w:jc w:val="both"/>
      </w:pPr>
      <w:r>
        <w:rPr>
          <w:sz w:val="20"/>
        </w:rPr>
        <w:t xml:space="preserve">выписки из Единого государственного реестра недвижимости об основных характеристиках и зарегистрированных правах на объект недвижимости по </w:t>
      </w:r>
      <w:hyperlink w:history="0" r:id="rId102" w:tooltip="Приказ Росреестра от 04.09.2020 N П/0329 (ред. от 07.04.2026) &quot;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quot; (Зарегистрировано в Минюсте России 15.09.2020 N 59858 {КонсультантПлюс}">
        <w:r>
          <w:rPr>
            <w:sz w:val="20"/>
            <w:color w:val="0000ff"/>
          </w:rPr>
          <w:t xml:space="preserve">форме</w:t>
        </w:r>
      </w:hyperlink>
      <w:r>
        <w:rPr>
          <w:sz w:val="20"/>
        </w:rPr>
        <w:t xml:space="preserve">, утвержденной Приказом Федеральной службы государственной регистрации, кадастра и картографии (далее - Росреестр) от 04.09.2020 N П/0329;</w:t>
      </w:r>
    </w:p>
    <w:p>
      <w:pPr>
        <w:pStyle w:val="0"/>
        <w:spacing w:before="200" w:lineRule="auto"/>
        <w:ind w:firstLine="540"/>
        <w:jc w:val="both"/>
      </w:pPr>
      <w:r>
        <w:rPr>
          <w:sz w:val="20"/>
        </w:rPr>
        <w:t xml:space="preserve">9)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 монтаж оборудования и пусконаладочные работы, разработку прикладного программного обеспечения необходимо с документами, указанными в настоящем пункте, представить копии сметных расчетов (иной документации), подтверждающих стоимость отдельных видов строительных работ, монтажных работ, пусконаладочных работ, работ по разработке прикладного программного обеспечения;</w:t>
      </w:r>
    </w:p>
    <w:p>
      <w:pPr>
        <w:pStyle w:val="0"/>
        <w:spacing w:before="200" w:lineRule="auto"/>
        <w:ind w:firstLine="540"/>
        <w:jc w:val="both"/>
      </w:pPr>
      <w:r>
        <w:rPr>
          <w:sz w:val="20"/>
        </w:rPr>
        <w:t xml:space="preserve">10)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по уплате процентов по кредитам, выданным на приобретение оборудования, необходимо с документами, указанными в настоящем пункте, представить:</w:t>
      </w:r>
    </w:p>
    <w:p>
      <w:pPr>
        <w:pStyle w:val="0"/>
        <w:spacing w:before="200" w:lineRule="auto"/>
        <w:ind w:firstLine="540"/>
        <w:jc w:val="both"/>
      </w:pPr>
      <w:r>
        <w:rPr>
          <w:sz w:val="20"/>
        </w:rPr>
        <w:t xml:space="preserve">копии кредитных договоров с графиком погашения и уплаты основного долга и процентов по кредиту;</w:t>
      </w:r>
    </w:p>
    <w:p>
      <w:pPr>
        <w:pStyle w:val="0"/>
        <w:spacing w:before="200" w:lineRule="auto"/>
        <w:ind w:firstLine="540"/>
        <w:jc w:val="both"/>
      </w:pPr>
      <w:r>
        <w:rPr>
          <w:sz w:val="20"/>
        </w:rPr>
        <w:t xml:space="preserve">выписки по ссудному счету, подтверждающие получение кредита;</w:t>
      </w:r>
    </w:p>
    <w:p>
      <w:pPr>
        <w:pStyle w:val="0"/>
        <w:spacing w:before="200" w:lineRule="auto"/>
        <w:ind w:firstLine="540"/>
        <w:jc w:val="both"/>
      </w:pPr>
      <w:r>
        <w:rPr>
          <w:sz w:val="20"/>
        </w:rPr>
        <w:t xml:space="preserve">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участником отбора обязательств по договорам (сделкам);</w:t>
      </w:r>
    </w:p>
    <w:p>
      <w:pPr>
        <w:pStyle w:val="0"/>
        <w:spacing w:before="200" w:lineRule="auto"/>
        <w:ind w:firstLine="540"/>
        <w:jc w:val="both"/>
      </w:pPr>
      <w:r>
        <w:rPr>
          <w:sz w:val="20"/>
        </w:rPr>
        <w:t xml:space="preserve">копии платежных документов, подтверждающих погашение (уплату) процентов по кредиту в соответствии с условиями кредитного договора и (или)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заявки,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каждого месяца;</w:t>
      </w:r>
    </w:p>
    <w:p>
      <w:pPr>
        <w:pStyle w:val="0"/>
        <w:spacing w:before="200" w:lineRule="auto"/>
        <w:ind w:firstLine="540"/>
        <w:jc w:val="both"/>
      </w:pPr>
      <w:r>
        <w:rPr>
          <w:sz w:val="20"/>
        </w:rPr>
        <w:t xml:space="preserve">11)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проведением экспертизы о соответствии производимой продукции </w:t>
      </w:r>
      <w:hyperlink w:history="0" r:id="rId103"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sz w:val="20"/>
            <w:color w:val="0000ff"/>
          </w:rPr>
          <w:t xml:space="preserve">требованиям</w:t>
        </w:r>
      </w:hyperlink>
      <w:r>
        <w:rPr>
          <w:sz w:val="20"/>
        </w:rPr>
        <w:t xml:space="preserve">,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N 719 "О подтверждении производства российской промышленной продукции" (далее - Постановление N 719):</w:t>
      </w:r>
    </w:p>
    <w:p>
      <w:pPr>
        <w:pStyle w:val="0"/>
        <w:spacing w:before="200" w:lineRule="auto"/>
        <w:ind w:firstLine="540"/>
        <w:jc w:val="both"/>
      </w:pPr>
      <w:r>
        <w:rPr>
          <w:sz w:val="20"/>
        </w:rPr>
        <w:t xml:space="preserve">договор на оказание услуг по проведению экспертизы;</w:t>
      </w:r>
    </w:p>
    <w:p>
      <w:pPr>
        <w:pStyle w:val="0"/>
        <w:spacing w:before="200" w:lineRule="auto"/>
        <w:ind w:firstLine="540"/>
        <w:jc w:val="both"/>
      </w:pPr>
      <w:r>
        <w:rPr>
          <w:sz w:val="20"/>
        </w:rPr>
        <w:t xml:space="preserve">платежные поручения и выписки из расчетных счетов, квитанции, и иные платежные документы;</w:t>
      </w:r>
    </w:p>
    <w:p>
      <w:pPr>
        <w:pStyle w:val="0"/>
        <w:spacing w:before="200" w:lineRule="auto"/>
        <w:ind w:firstLine="540"/>
        <w:jc w:val="both"/>
      </w:pPr>
      <w:r>
        <w:rPr>
          <w:sz w:val="20"/>
        </w:rPr>
        <w:t xml:space="preserve">акты экспертизы, сертификаты СТ-1 или акты экспертизы на компоненты;</w:t>
      </w:r>
    </w:p>
    <w:p>
      <w:pPr>
        <w:pStyle w:val="0"/>
        <w:jc w:val="both"/>
      </w:pPr>
      <w:r>
        <w:rPr>
          <w:sz w:val="20"/>
        </w:rPr>
        <w:t xml:space="preserve">(пп. 11 в ред. </w:t>
      </w:r>
      <w:hyperlink w:history="0" r:id="rId10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12)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сертификацией (декларированием) продукции (продовольственного сырья, товаров, работ, услуг), лицензированием деятельности:</w:t>
      </w:r>
    </w:p>
    <w:p>
      <w:pPr>
        <w:pStyle w:val="0"/>
        <w:spacing w:before="200" w:lineRule="auto"/>
        <w:ind w:firstLine="540"/>
        <w:jc w:val="both"/>
      </w:pPr>
      <w:r>
        <w:rPr>
          <w:sz w:val="20"/>
        </w:rPr>
        <w:t xml:space="preserve">копии договоров с аккредитованным центром по сертификации (декларированию) на проведение добровольной сертификации (декларирования) изготавливаемой продукции (продовольственного сырья, товаров, работ, услуг); копия сертификата (декларации) соответствия продукции (продовольственного сырья, товаров, работ, услуг) лицензированию деятельности;</w:t>
      </w:r>
    </w:p>
    <w:p>
      <w:pPr>
        <w:pStyle w:val="0"/>
        <w:spacing w:before="200" w:lineRule="auto"/>
        <w:ind w:firstLine="540"/>
        <w:jc w:val="both"/>
      </w:pPr>
      <w:r>
        <w:rPr>
          <w:sz w:val="20"/>
        </w:rPr>
        <w:t xml:space="preserve">копии договоров с организациями, которые осуществляют услуги по испытаниям и измерениям, в целях сертификации (декларирования) продукции (продовольственного сырья, товаров, работ, услуг), лицензирования деятельности;</w:t>
      </w:r>
    </w:p>
    <w:p>
      <w:pPr>
        <w:pStyle w:val="0"/>
        <w:spacing w:before="200" w:lineRule="auto"/>
        <w:ind w:firstLine="540"/>
        <w:jc w:val="both"/>
      </w:pPr>
      <w:r>
        <w:rPr>
          <w:sz w:val="20"/>
        </w:rPr>
        <w:t xml:space="preserve">копии актов о выполнении работ;</w:t>
      </w:r>
    </w:p>
    <w:p>
      <w:pPr>
        <w:pStyle w:val="0"/>
        <w:spacing w:before="200" w:lineRule="auto"/>
        <w:ind w:firstLine="540"/>
        <w:jc w:val="both"/>
      </w:pPr>
      <w:r>
        <w:rPr>
          <w:sz w:val="20"/>
        </w:rPr>
        <w:t xml:space="preserve">копии платежных документов, подтверждающих оплату услуг по сертификации (декларированию), оплату государственной пошлины за получение (переоформление) лицензии;</w:t>
      </w:r>
    </w:p>
    <w:p>
      <w:pPr>
        <w:pStyle w:val="0"/>
        <w:spacing w:before="200" w:lineRule="auto"/>
        <w:ind w:firstLine="540"/>
        <w:jc w:val="both"/>
      </w:pPr>
      <w:r>
        <w:rPr>
          <w:sz w:val="20"/>
        </w:rPr>
        <w:t xml:space="preserve">копия сертификата (декларации) продукции (продовольственного сырья, товаров, работ, услуг), лицензии на право осуществления деятельности;</w:t>
      </w:r>
    </w:p>
    <w:p>
      <w:pPr>
        <w:pStyle w:val="0"/>
        <w:jc w:val="both"/>
      </w:pPr>
      <w:r>
        <w:rPr>
          <w:sz w:val="20"/>
        </w:rPr>
        <w:t xml:space="preserve">(пп. 12 в ред. </w:t>
      </w:r>
      <w:hyperlink w:history="0" r:id="rId10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13)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оплатой первоначального (авансового) лизингового взноса и (или) очередных лизинговых платежей по заключенным с российскими лизинговыми организациями договорам лизинга оборудования и техники, необходимых для осуществления предпринимательской деятельности:</w:t>
      </w:r>
    </w:p>
    <w:p>
      <w:pPr>
        <w:pStyle w:val="0"/>
        <w:spacing w:before="200" w:lineRule="auto"/>
        <w:ind w:firstLine="540"/>
        <w:jc w:val="both"/>
      </w:pPr>
      <w:r>
        <w:rPr>
          <w:sz w:val="20"/>
        </w:rPr>
        <w:t xml:space="preserve">договор (договоры) лизинга техники и оборудования, заключенный с российскими лизинговыми организациями, с графиком погашения и уплаты лизинговых платежей и наличием сведений об основных характеристиках предмета (предметов) лизинга, его специфических параметрах в соответствии с </w:t>
      </w:r>
      <w:hyperlink w:history="0" w:anchor="P195" w:tooltip="7) в случае осуществления в соответствии с условиями предоставления субсидии, установленными пунктом 33 настоящего Положения, расходов, направленных на приобретение оборудования и (или) прикладного программного обеспечения, являющегося в соответствии со статьей 256 Налогового кодекса Российской Федерации амортизируемым имуществом, необходимо с документами, указанными в настоящем пункте, представить копию акта о вводе в эксплуатацию и установлении срока полезного использования имущества по форме, установл...">
        <w:r>
          <w:rPr>
            <w:sz w:val="20"/>
            <w:color w:val="0000ff"/>
          </w:rPr>
          <w:t xml:space="preserve">подпунктом 7</w:t>
        </w:r>
      </w:hyperlink>
      <w:r>
        <w:rPr>
          <w:sz w:val="20"/>
        </w:rPr>
        <w:t xml:space="preserve"> настоящего пункта;</w:t>
      </w:r>
    </w:p>
    <w:p>
      <w:pPr>
        <w:pStyle w:val="0"/>
        <w:spacing w:before="200" w:lineRule="auto"/>
        <w:ind w:firstLine="540"/>
        <w:jc w:val="both"/>
      </w:pPr>
      <w:r>
        <w:rPr>
          <w:sz w:val="20"/>
        </w:rPr>
        <w:t xml:space="preserve">документы, подтверждающие передачу предмета (предметов) лизинга во временное владение и пользование;</w:t>
      </w:r>
    </w:p>
    <w:p>
      <w:pPr>
        <w:pStyle w:val="0"/>
        <w:spacing w:before="200" w:lineRule="auto"/>
        <w:ind w:firstLine="540"/>
        <w:jc w:val="both"/>
      </w:pPr>
      <w:r>
        <w:rPr>
          <w:sz w:val="20"/>
        </w:rPr>
        <w:t xml:space="preserve">уведомление о постановке российской лизинговой организации на учет в территориальных органах Росфинмониторинга, заверенное подписью уполномоченного лица и печатью лизингодателя;</w:t>
      </w:r>
    </w:p>
    <w:p>
      <w:pPr>
        <w:pStyle w:val="0"/>
        <w:spacing w:before="200" w:lineRule="auto"/>
        <w:ind w:firstLine="540"/>
        <w:jc w:val="both"/>
      </w:pPr>
      <w:r>
        <w:rPr>
          <w:sz w:val="20"/>
        </w:rPr>
        <w:t xml:space="preserve">документ о переименовании российской лизинговой организации, заверенный подписью уполномоченного лица и печатью лизингодателя, в случае смены наименования без изменения организационно-правовой формы российской лизинговой организации, с которой после переименования участником отбора заключен (ы) договор (ы) лизинга оборудования;</w:t>
      </w:r>
    </w:p>
    <w:p>
      <w:pPr>
        <w:pStyle w:val="0"/>
        <w:jc w:val="both"/>
      </w:pPr>
      <w:r>
        <w:rPr>
          <w:sz w:val="20"/>
        </w:rPr>
        <w:t xml:space="preserve">(пп. 13 в ред. </w:t>
      </w:r>
      <w:hyperlink w:history="0" r:id="rId10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14)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pPr>
        <w:pStyle w:val="0"/>
        <w:spacing w:before="200" w:lineRule="auto"/>
        <w:ind w:firstLine="540"/>
        <w:jc w:val="both"/>
      </w:pPr>
      <w:r>
        <w:rPr>
          <w:sz w:val="20"/>
        </w:rPr>
        <w:t xml:space="preserve">договоры с организациями, которые осуществляют услуги страхования имущества (спецтехники, транспорта, оборудования);</w:t>
      </w:r>
    </w:p>
    <w:p>
      <w:pPr>
        <w:pStyle w:val="0"/>
        <w:spacing w:before="200" w:lineRule="auto"/>
        <w:ind w:firstLine="540"/>
        <w:jc w:val="both"/>
      </w:pPr>
      <w:r>
        <w:rPr>
          <w:sz w:val="20"/>
        </w:rPr>
        <w:t xml:space="preserve">платежные документы, подтверждающие оплату вышеуказанных услуг;</w:t>
      </w:r>
    </w:p>
    <w:p>
      <w:pPr>
        <w:pStyle w:val="0"/>
        <w:spacing w:before="200" w:lineRule="auto"/>
        <w:ind w:firstLine="540"/>
        <w:jc w:val="both"/>
      </w:pPr>
      <w:r>
        <w:rPr>
          <w:sz w:val="20"/>
        </w:rPr>
        <w:t xml:space="preserve">документы, подтверждающие получение услуги страхования имущества (спецтехники, транспорта, оборудования);</w:t>
      </w:r>
    </w:p>
    <w:p>
      <w:pPr>
        <w:pStyle w:val="0"/>
        <w:jc w:val="both"/>
      </w:pPr>
      <w:r>
        <w:rPr>
          <w:sz w:val="20"/>
        </w:rPr>
        <w:t xml:space="preserve">(пп. 14 в ред. </w:t>
      </w:r>
      <w:hyperlink w:history="0" r:id="rId10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15) копии документов, подтверждающих объем дохода от деятельности, доход от реализации произведенной продукции (товаров, работ, услуг) за два календарных года, предшествующих году подачи, и за год подачи, по состоянию на 1-е число месяца подачи заявки:</w:t>
      </w:r>
    </w:p>
    <w:p>
      <w:pPr>
        <w:pStyle w:val="0"/>
        <w:spacing w:before="200" w:lineRule="auto"/>
        <w:ind w:firstLine="540"/>
        <w:jc w:val="both"/>
      </w:pPr>
      <w:r>
        <w:rPr>
          <w:sz w:val="20"/>
        </w:rPr>
        <w:t xml:space="preserve">отчетов о финансовых результатах, принятых (заверенных) налоговым органом, и промежуточных отчетов о финансовых результатах юридического лица;</w:t>
      </w:r>
    </w:p>
    <w:p>
      <w:pPr>
        <w:pStyle w:val="0"/>
        <w:spacing w:before="200" w:lineRule="auto"/>
        <w:ind w:firstLine="540"/>
        <w:jc w:val="both"/>
      </w:pPr>
      <w:r>
        <w:rPr>
          <w:sz w:val="20"/>
        </w:rPr>
        <w:t xml:space="preserve">налоговой </w:t>
      </w:r>
      <w:hyperlink w:history="0" r:id="rId108" w:tooltip="Приказ ФНС России от 20.10.2025 N ЕД-7-11/913@ &quot;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quot; (Зарегистрировано в Минюсте России 31.10.2025 N 84028) {КонсультантПлюс}">
        <w:r>
          <w:rPr>
            <w:sz w:val="20"/>
            <w:color w:val="0000ff"/>
          </w:rPr>
          <w:t xml:space="preserve">декларации</w:t>
        </w:r>
      </w:hyperlink>
      <w:r>
        <w:rPr>
          <w:sz w:val="20"/>
        </w:rPr>
        <w:t xml:space="preserve"> по налогу на доходы физических лиц по форме 3-НДФЛ, утвержденной приказом Федеральной налоговой службы от 20.10.2025 N ЕД-7-11/913@, и (или) налоговой </w:t>
      </w:r>
      <w:hyperlink w:history="0" r:id="rId109" w:tooltip="Приказ ФНС России от 26.11.2025 N ЕД-7-3/1017@ &quot;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quot; (Зарегистрировано в Минюсте России 26.12.2025 N 84818) {КонсультантПлюс}">
        <w:r>
          <w:rPr>
            <w:sz w:val="20"/>
            <w:color w:val="0000ff"/>
          </w:rPr>
          <w:t xml:space="preserve">декларации</w:t>
        </w:r>
      </w:hyperlink>
      <w:r>
        <w:rPr>
          <w:sz w:val="20"/>
        </w:rPr>
        <w:t xml:space="preserve"> по налогу, уплачиваемому в связи с применением упрощенной системы налогообложения, утвержденной приказом Федеральной налоговой службы от 26.11.2025 N ЕД-7-3/1017@, принятыми (заверенными) налоговым органом, и (или) иных документов индивидуального предпринимателя, принятых (заверенных) налоговым органом, и выписок из таких документов индивидуального предпринимателя, включая: книги доходов и расходов и (или) книги учета доходов, и (или) справки о состоянии расчетов (доходах) по налогу на профессиональный доход;</w:t>
      </w:r>
    </w:p>
    <w:p>
      <w:pPr>
        <w:pStyle w:val="0"/>
        <w:jc w:val="both"/>
      </w:pPr>
      <w:r>
        <w:rPr>
          <w:sz w:val="20"/>
        </w:rPr>
        <w:t xml:space="preserve">(пп. 15 в ред. </w:t>
      </w:r>
      <w:hyperlink w:history="0" r:id="rId11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16) копии первичного или уточненного с последним номером корректировки (при наличии) расчета по страховым взносам (за исключением раздела 3 "Персонифицированные сведения о застрахованных лицах"), принятого (заверенного) налоговым органом за два календарных года,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16 в ред. </w:t>
      </w:r>
      <w:hyperlink w:history="0" r:id="rId11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17) справку (сведения) о количестве списочной численности работников за два календарных года,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17 введен </w:t>
      </w:r>
      <w:hyperlink w:history="0" r:id="rId112"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18)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w:t>
      </w:r>
    </w:p>
    <w:p>
      <w:pPr>
        <w:pStyle w:val="0"/>
        <w:jc w:val="both"/>
      </w:pPr>
      <w:r>
        <w:rPr>
          <w:sz w:val="20"/>
        </w:rPr>
        <w:t xml:space="preserve">(пп. 18 введен </w:t>
      </w:r>
      <w:hyperlink w:history="0" r:id="rId11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19) сведения о наличии банковского счета, с указанием реквизитов, необходимых для перечисления субсидии в соответствии с пунктом 46 настоящего Положения;</w:t>
      </w:r>
    </w:p>
    <w:p>
      <w:pPr>
        <w:pStyle w:val="0"/>
        <w:jc w:val="both"/>
      </w:pPr>
      <w:r>
        <w:rPr>
          <w:sz w:val="20"/>
        </w:rPr>
        <w:t xml:space="preserve">(пп. 19 введен </w:t>
      </w:r>
      <w:hyperlink w:history="0" r:id="rId11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20) документы и их копии, подтверждающие полномочия лица на осуществление действий от имени участника отбора (при наличии).</w:t>
      </w:r>
    </w:p>
    <w:p>
      <w:pPr>
        <w:pStyle w:val="0"/>
        <w:jc w:val="both"/>
      </w:pPr>
      <w:r>
        <w:rPr>
          <w:sz w:val="20"/>
        </w:rPr>
        <w:t xml:space="preserve">(пп. 20 введен </w:t>
      </w:r>
      <w:hyperlink w:history="0" r:id="rId11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bookmarkStart w:id="252" w:name="P252"/>
    <w:bookmarkEnd w:id="252"/>
    <w:p>
      <w:pPr>
        <w:pStyle w:val="0"/>
        <w:spacing w:before="200" w:lineRule="auto"/>
        <w:ind w:firstLine="540"/>
        <w:jc w:val="both"/>
      </w:pPr>
      <w:r>
        <w:rPr>
          <w:sz w:val="20"/>
        </w:rPr>
        <w:t xml:space="preserve">18. Не позднее 1 рабочего дня, следующего за датой окончания срока подачи заявок, установленной в объявлении о проведении конкурса, в ГИИС "Электронный бюджет" уполномоченному органу, а также конкурсной комиссии открывается доступ к поданным участниками отбора заявкам для их рассмотрения и оценки.</w:t>
      </w:r>
    </w:p>
    <w:p>
      <w:pPr>
        <w:pStyle w:val="0"/>
        <w:spacing w:before="200" w:lineRule="auto"/>
        <w:ind w:firstLine="540"/>
        <w:jc w:val="both"/>
      </w:pPr>
      <w:r>
        <w:rPr>
          <w:sz w:val="20"/>
        </w:rPr>
        <w:t xml:space="preserve">Вскрытие заявок осуществляется уполномоченным органом в течение 3 рабочих дней, следующих после даты предоставления ему доступа к поданным заявкам, установленной </w:t>
      </w:r>
      <w:hyperlink w:history="0" w:anchor="P252"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Протокол вскрытия заявок формируется на едином портале автоматически и включает следующую информацию:</w:t>
      </w:r>
    </w:p>
    <w:p>
      <w:pPr>
        <w:pStyle w:val="0"/>
        <w:spacing w:before="200" w:lineRule="auto"/>
        <w:ind w:firstLine="540"/>
        <w:jc w:val="both"/>
      </w:pPr>
      <w:r>
        <w:rPr>
          <w:sz w:val="20"/>
        </w:rPr>
        <w:t xml:space="preserve">регистрационный номер заявки;</w:t>
      </w:r>
    </w:p>
    <w:p>
      <w:pPr>
        <w:pStyle w:val="0"/>
        <w:spacing w:before="200" w:lineRule="auto"/>
        <w:ind w:firstLine="540"/>
        <w:jc w:val="both"/>
      </w:pPr>
      <w:r>
        <w:rPr>
          <w:sz w:val="20"/>
        </w:rPr>
        <w:t xml:space="preserve">дата и время поступления заявки;</w:t>
      </w:r>
    </w:p>
    <w:p>
      <w:pPr>
        <w:pStyle w:val="0"/>
        <w:spacing w:before="200" w:lineRule="auto"/>
        <w:ind w:firstLine="540"/>
        <w:jc w:val="both"/>
      </w:pPr>
      <w:r>
        <w:rPr>
          <w:sz w:val="20"/>
        </w:rPr>
        <w:t xml:space="preserve">полное наименование участника отбора - для юридических лиц или фамилия, имя, отчество (при наличии) - для индивидуальных предпринимателей;</w:t>
      </w:r>
    </w:p>
    <w:p>
      <w:pPr>
        <w:pStyle w:val="0"/>
        <w:spacing w:before="200" w:lineRule="auto"/>
        <w:ind w:firstLine="540"/>
        <w:jc w:val="both"/>
      </w:pPr>
      <w:r>
        <w:rPr>
          <w:sz w:val="20"/>
        </w:rPr>
        <w:t xml:space="preserve">адрес участника отбора - юридического лица или адрес регистрации - для индивидуальных предпринимателей;</w:t>
      </w:r>
    </w:p>
    <w:p>
      <w:pPr>
        <w:pStyle w:val="0"/>
        <w:spacing w:before="200" w:lineRule="auto"/>
        <w:ind w:firstLine="540"/>
        <w:jc w:val="both"/>
      </w:pPr>
      <w:r>
        <w:rPr>
          <w:sz w:val="20"/>
        </w:rPr>
        <w:t xml:space="preserve">запрашиваемый участником отбора размер субсидии.</w:t>
      </w:r>
    </w:p>
    <w:p>
      <w:pPr>
        <w:pStyle w:val="0"/>
        <w:spacing w:before="200" w:lineRule="auto"/>
        <w:ind w:firstLine="540"/>
        <w:jc w:val="both"/>
      </w:pPr>
      <w:r>
        <w:rPr>
          <w:sz w:val="20"/>
        </w:rPr>
        <w:t xml:space="preserve">Протокол вскрытия заявок в течение 2 рабочих дней, следующих за днем вскрытия заявок, подписывается усиленной квалифицированной электронной подписью председателя конкурсной комиссии в ГИИС "Электронный бюджет" и размещается на едином портале и Сайте не позднее 1 рабочего дня, следующего за днем его подписания.</w:t>
      </w:r>
    </w:p>
    <w:bookmarkStart w:id="261" w:name="P261"/>
    <w:bookmarkEnd w:id="261"/>
    <w:p>
      <w:pPr>
        <w:pStyle w:val="0"/>
        <w:spacing w:before="200" w:lineRule="auto"/>
        <w:ind w:firstLine="540"/>
        <w:jc w:val="both"/>
      </w:pPr>
      <w:r>
        <w:rPr>
          <w:sz w:val="20"/>
        </w:rPr>
        <w:t xml:space="preserve">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w:t>
      </w:r>
    </w:p>
    <w:p>
      <w:pPr>
        <w:pStyle w:val="0"/>
        <w:spacing w:before="200" w:lineRule="auto"/>
        <w:ind w:firstLine="540"/>
        <w:jc w:val="both"/>
      </w:pPr>
      <w:r>
        <w:rPr>
          <w:sz w:val="20"/>
        </w:rPr>
        <w:t xml:space="preserve">Конкурсная комиссия (далее - комиссия) - коллегиальный совещательный орган по определению победителей конкурса и размеров субсидии, предоставляемой каждому победителю конкурса на основании результатов рассмотрения и оценки заявок участников отбора в соответствии с порядком проведения конкурса, установленным настоящим разделом.</w:t>
      </w:r>
    </w:p>
    <w:p>
      <w:pPr>
        <w:pStyle w:val="0"/>
        <w:spacing w:before="200" w:lineRule="auto"/>
        <w:ind w:firstLine="540"/>
        <w:jc w:val="both"/>
      </w:pPr>
      <w:r>
        <w:rPr>
          <w:sz w:val="20"/>
        </w:rPr>
        <w:t xml:space="preserve">Комиссия осуществляет свою деятельность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 В </w:t>
      </w:r>
      <w:hyperlink w:history="0" w:anchor="P1710" w:tooltip="СОСТАВ">
        <w:r>
          <w:rPr>
            <w:sz w:val="20"/>
            <w:color w:val="0000ff"/>
          </w:rPr>
          <w:t xml:space="preserve">состав</w:t>
        </w:r>
      </w:hyperlink>
      <w:r>
        <w:rPr>
          <w:sz w:val="20"/>
        </w:rPr>
        <w:t xml:space="preserve"> комиссии включаются представители администрации города Красноярска согласно приложению 4 к настоящему Положению.</w:t>
      </w:r>
    </w:p>
    <w:p>
      <w:pPr>
        <w:pStyle w:val="0"/>
        <w:jc w:val="both"/>
      </w:pPr>
      <w:r>
        <w:rPr>
          <w:sz w:val="20"/>
        </w:rPr>
        <w:t xml:space="preserve">(в ред. </w:t>
      </w:r>
      <w:hyperlink w:history="0" r:id="rId11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Численность комиссии составляет не менее 4 человек. В состав комиссии входят: председатель комиссии, заместитель председателя комиссии, члены комиссии. Заседания комиссии правомочны, если на них присутствует не менее 1/2 от общего числа членов комиссии. Решения комиссии принимаются большинством голосов от числа присутствующих членов комиссии. В случае равенства голосов решающим является голос председателя комиссии.</w:t>
      </w:r>
    </w:p>
    <w:p>
      <w:pPr>
        <w:pStyle w:val="0"/>
        <w:spacing w:before="200" w:lineRule="auto"/>
        <w:ind w:firstLine="540"/>
        <w:jc w:val="both"/>
      </w:pPr>
      <w:r>
        <w:rPr>
          <w:sz w:val="20"/>
        </w:rPr>
        <w:t xml:space="preserve">Руководство работой комиссии осуществляет ее председатель, в отсутствие председателя руководство комиссией осуществляет его заместитель. Председателем комиссии является руководитель уполномоченного органа. Председатель комиссии назначает дату и время проведения заседаний комиссии, предлагает повестку заседания комиссии.</w:t>
      </w:r>
    </w:p>
    <w:bookmarkStart w:id="267" w:name="P267"/>
    <w:bookmarkEnd w:id="267"/>
    <w:p>
      <w:pPr>
        <w:pStyle w:val="0"/>
        <w:spacing w:before="200" w:lineRule="auto"/>
        <w:ind w:firstLine="540"/>
        <w:jc w:val="both"/>
      </w:pPr>
      <w:r>
        <w:rPr>
          <w:sz w:val="20"/>
        </w:rPr>
        <w:t xml:space="preserve">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w:t>
      </w:r>
      <w:hyperlink w:history="0" w:anchor="P252"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 пункта 18</w:t>
        </w:r>
      </w:hyperlink>
      <w:r>
        <w:rPr>
          <w:sz w:val="20"/>
        </w:rPr>
        <w:t xml:space="preserve"> настоящего Положения, в следующем порядке:</w:t>
      </w:r>
    </w:p>
    <w:p>
      <w:pPr>
        <w:pStyle w:val="0"/>
        <w:spacing w:before="200" w:lineRule="auto"/>
        <w:ind w:firstLine="540"/>
        <w:jc w:val="both"/>
      </w:pPr>
      <w:r>
        <w:rPr>
          <w:sz w:val="20"/>
        </w:rPr>
        <w:t xml:space="preserve">уполномоченный орган осуществляет проверку заявок в соответствии с </w:t>
      </w:r>
      <w:hyperlink w:history="0" w:anchor="P321"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пунктом 25</w:t>
        </w:r>
      </w:hyperlink>
      <w:r>
        <w:rPr>
          <w:sz w:val="20"/>
        </w:rPr>
        <w:t xml:space="preserve"> настоящего Положения на соответствие участников отбора категориям получателей субсидии и требованиям к участникам отбора,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настоящего Положения; при отсутствии технической возможности автоматической проверки участника отбора (получателя субсидии) в ГИИС "Электронный бюджет" в случае, указанном в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 первом пункта 26</w:t>
        </w:r>
      </w:hyperlink>
      <w:r>
        <w:rPr>
          <w:sz w:val="20"/>
        </w:rPr>
        <w:t xml:space="preserve"> настоящего Положения, осуществляет по состоянию на даты рассмотрения заявок проверку участников отбора на соответствие требованиям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пункта 12</w:t>
        </w:r>
      </w:hyperlink>
      <w:r>
        <w:rPr>
          <w:sz w:val="20"/>
        </w:rPr>
        <w:t xml:space="preserve"> настоящего Положения. Уполномоченный орган информирует комиссию о результатах проверки для рассмотрения и оценки заявок комиссией по критериям оценки, указанным в </w:t>
      </w:r>
      <w:hyperlink w:history="0" w:anchor="P277"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w:t>
      </w:r>
    </w:p>
    <w:p>
      <w:pPr>
        <w:pStyle w:val="0"/>
        <w:spacing w:before="200" w:lineRule="auto"/>
        <w:ind w:firstLine="540"/>
        <w:jc w:val="both"/>
      </w:pPr>
      <w:r>
        <w:rPr>
          <w:sz w:val="20"/>
        </w:rPr>
        <w:t xml:space="preserve">комиссия осуществляет рассмотрение заявок посредством заполнения оценочных </w:t>
      </w:r>
      <w:hyperlink w:history="0" w:anchor="P1754" w:tooltip="                            ОЦЕНОЧНАЯ ВЕДОМОСТЬ">
        <w:r>
          <w:rPr>
            <w:sz w:val="20"/>
            <w:color w:val="0000ff"/>
          </w:rPr>
          <w:t xml:space="preserve">ведомостей</w:t>
        </w:r>
      </w:hyperlink>
      <w:r>
        <w:rPr>
          <w:sz w:val="20"/>
        </w:rPr>
        <w:t xml:space="preserve"> по форме согласно приложению 5 к настоящему Положению в соответствии с критериями оценки, указанными в </w:t>
      </w:r>
      <w:hyperlink w:history="0" w:anchor="P277"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 Члены комиссии заполняют оценочные ведомости в течение 10 рабочих дней, следующих за датой размещения уполномоченным органом в ГИИС "Электронный бюджет" формы оценочной ведомости посредством заполнения соответствующих экранных форм веб-интерфейса ГИИС "Электронный бюджет". Каждая заявка, участвующая в конкурсе, получает оценочную ведомость. Заявки, признанные комиссией не соответствующими установленным настоящим Положением требованиям, получают оценочную ведомость с нулевым значением баллов;</w:t>
      </w:r>
    </w:p>
    <w:p>
      <w:pPr>
        <w:pStyle w:val="0"/>
        <w:spacing w:before="200" w:lineRule="auto"/>
        <w:ind w:firstLine="540"/>
        <w:jc w:val="both"/>
      </w:pPr>
      <w:r>
        <w:rPr>
          <w:sz w:val="20"/>
        </w:rPr>
        <w:t xml:space="preserve">на основании заполненных членами комиссии оценочных ведомостей уполномоченным органом формируются </w:t>
      </w:r>
      <w:hyperlink w:history="0" w:anchor="P1919" w:tooltip="РЕЗУЛЬТАТЫ">
        <w:r>
          <w:rPr>
            <w:sz w:val="20"/>
            <w:color w:val="0000ff"/>
          </w:rPr>
          <w:t xml:space="preserve">результаты</w:t>
        </w:r>
      </w:hyperlink>
      <w:r>
        <w:rPr>
          <w:sz w:val="20"/>
        </w:rPr>
        <w:t xml:space="preserve"> рассмотрения заявок участников отбора по форме согласно приложению 6 к настоящему Положению в порядке ранжирования заявок в соответствии с </w:t>
      </w:r>
      <w:hyperlink w:history="0" w:anchor="P307" w:tooltip="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
        <w:r>
          <w:rPr>
            <w:sz w:val="20"/>
            <w:color w:val="0000ff"/>
          </w:rPr>
          <w:t xml:space="preserve">пунктом 22</w:t>
        </w:r>
      </w:hyperlink>
      <w:r>
        <w:rPr>
          <w:sz w:val="20"/>
        </w:rPr>
        <w:t xml:space="preserve"> настоящего Положения и размещаются в ГИИС "Электронный бюджет" в течение 2 рабочих дней, следующих за датой размещения в ГИИС "Электронный бюджет" оценочных ведомостей, заполненных членами комиссии;</w:t>
      </w:r>
    </w:p>
    <w:p>
      <w:pPr>
        <w:pStyle w:val="0"/>
        <w:spacing w:before="200" w:lineRule="auto"/>
        <w:ind w:firstLine="540"/>
        <w:jc w:val="both"/>
      </w:pPr>
      <w:r>
        <w:rPr>
          <w:sz w:val="20"/>
        </w:rPr>
        <w:t xml:space="preserve">на основании результатов рассмотрения заявок на едином портале автоматически формируется протокол рассмотрения заявок, который в течение 2 рабочих дней, следующих за днем его автоматического формирования на едином портале, подписывается усиленной квалифицированной электронной подписью председателя комиссии в ГИИС "Электронный бюджет". Протокол рассмотрения заявок размещается уполномоченным органом на едином портале и Сайте не позднее 1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рассмотрения заявок осуществляется не позднее 10 календарных дней со дня подписания его первой версии путем формирования новой версии протокола рассмотрения заявок с указанием причин внесения изменений;</w:t>
      </w:r>
    </w:p>
    <w:bookmarkStart w:id="273" w:name="P273"/>
    <w:bookmarkEnd w:id="273"/>
    <w:p>
      <w:pPr>
        <w:pStyle w:val="0"/>
        <w:spacing w:before="200" w:lineRule="auto"/>
        <w:ind w:firstLine="540"/>
        <w:jc w:val="both"/>
      </w:pPr>
      <w:r>
        <w:rPr>
          <w:sz w:val="20"/>
        </w:rPr>
        <w:t xml:space="preserve">в течение 2 рабочих дней, следующих за днем размещения в ГИИС "Электронный бюджет"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w:t>
      </w:r>
    </w:p>
    <w:p>
      <w:pPr>
        <w:pStyle w:val="0"/>
        <w:spacing w:before="200" w:lineRule="auto"/>
        <w:ind w:firstLine="540"/>
        <w:jc w:val="both"/>
      </w:pPr>
      <w:r>
        <w:rPr>
          <w:sz w:val="20"/>
        </w:rPr>
        <w:t xml:space="preserve">победителю отбора, набравшему максимальное количество баллов, размер субсидии устанавливается комиссией в объеме, определенном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после определения суммы субсидии победителю отбора, набравшему максимальное количество баллов, комиссией выбирается следующий победитель отбора и определяется размер субсидии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и при наличии нераспределенного остатка ассигнований, предусмотренных для предоставления субсидии в текущем финансовом году.</w:t>
      </w:r>
    </w:p>
    <w:bookmarkStart w:id="276" w:name="P276"/>
    <w:bookmarkEnd w:id="276"/>
    <w:p>
      <w:pPr>
        <w:pStyle w:val="0"/>
        <w:spacing w:before="200" w:lineRule="auto"/>
        <w:ind w:firstLine="540"/>
        <w:jc w:val="both"/>
      </w:pPr>
      <w:r>
        <w:rPr>
          <w:sz w:val="20"/>
        </w:rPr>
        <w:t xml:space="preserve">Уполномоченный орган размещает в ГИИС "Электронный бюджет" результаты определения победителя (победителей) отбора, на основании которых формируется протокол подведения итогов конкурса в соответствии с </w:t>
      </w:r>
      <w:hyperlink w:history="0" w:anchor="P313"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пунктом 24</w:t>
        </w:r>
      </w:hyperlink>
      <w:r>
        <w:rPr>
          <w:sz w:val="20"/>
        </w:rPr>
        <w:t xml:space="preserve"> настоящего Положения.</w:t>
      </w:r>
    </w:p>
    <w:bookmarkStart w:id="277" w:name="P277"/>
    <w:bookmarkEnd w:id="277"/>
    <w:p>
      <w:pPr>
        <w:pStyle w:val="0"/>
        <w:spacing w:before="200" w:lineRule="auto"/>
        <w:ind w:firstLine="540"/>
        <w:jc w:val="both"/>
      </w:pPr>
      <w:r>
        <w:rPr>
          <w:sz w:val="20"/>
        </w:rPr>
        <w:t xml:space="preserve">21. Заявки рассматриваются и оцениваются комиссией по следующим критериям оценки:</w:t>
      </w:r>
    </w:p>
    <w:p>
      <w:pPr>
        <w:pStyle w:val="0"/>
        <w:spacing w:before="200" w:lineRule="auto"/>
        <w:ind w:firstLine="540"/>
        <w:jc w:val="both"/>
      </w:pPr>
      <w:r>
        <w:rPr>
          <w:sz w:val="20"/>
        </w:rPr>
        <w:t xml:space="preserve">1) соответствие участника отбора категориям,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настоящего Положения;</w:t>
      </w:r>
    </w:p>
    <w:p>
      <w:pPr>
        <w:pStyle w:val="0"/>
        <w:spacing w:before="200" w:lineRule="auto"/>
        <w:ind w:firstLine="540"/>
        <w:jc w:val="both"/>
      </w:pPr>
      <w:r>
        <w:rPr>
          <w:sz w:val="20"/>
        </w:rPr>
        <w:t xml:space="preserve">2) соответствие участника отбора требованиям, установленным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настоящего Положения;</w:t>
      </w:r>
    </w:p>
    <w:p>
      <w:pPr>
        <w:pStyle w:val="0"/>
        <w:spacing w:before="200" w:lineRule="auto"/>
        <w:ind w:firstLine="540"/>
        <w:jc w:val="both"/>
      </w:pPr>
      <w:r>
        <w:rPr>
          <w:sz w:val="20"/>
        </w:rPr>
        <w:t xml:space="preserve">3) соответствие участника отбора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4) соответствие заявки требованиям, установленным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пунктами 14</w:t>
        </w:r>
      </w:hyperlink>
      <w:r>
        <w:rPr>
          <w:sz w:val="20"/>
        </w:rPr>
        <w:t xml:space="preserve">,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33</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6) 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w:t>
      </w:r>
    </w:p>
    <w:p>
      <w:pPr>
        <w:pStyle w:val="0"/>
        <w:spacing w:before="200" w:lineRule="auto"/>
        <w:ind w:firstLine="540"/>
        <w:jc w:val="both"/>
      </w:pPr>
      <w:r>
        <w:rPr>
          <w:sz w:val="20"/>
        </w:rPr>
        <w:t xml:space="preserve">При определении соотношения объема инвестиций, привлеченных участником отбора на реализацию проекта, к сумме субсидии не учитывается объем субсидий и грантов (включая объем субсидий 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
    <w:p>
      <w:pPr>
        <w:pStyle w:val="0"/>
        <w:spacing w:before="200" w:lineRule="auto"/>
        <w:ind w:firstLine="540"/>
        <w:jc w:val="both"/>
      </w:pPr>
      <w:r>
        <w:rPr>
          <w:sz w:val="20"/>
        </w:rPr>
        <w:t xml:space="preserve">7) актуальность и социальная значимость проекта.</w:t>
      </w:r>
    </w:p>
    <w:p>
      <w:pPr>
        <w:pStyle w:val="0"/>
        <w:spacing w:before="200" w:lineRule="auto"/>
        <w:ind w:firstLine="540"/>
        <w:jc w:val="both"/>
      </w:pPr>
      <w:r>
        <w:rPr>
          <w:sz w:val="20"/>
        </w:rPr>
        <w:t xml:space="preserve">Критерий оценивает соответствие проекта целям и задачам стратегии социально-экономического развития города Красноярска, приоритетным отраслям в соответствии с </w:t>
      </w:r>
      <w:hyperlink w:history="0" w:anchor="P69" w:tooltip="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
        <w:r>
          <w:rPr>
            <w:sz w:val="20"/>
            <w:color w:val="0000ff"/>
          </w:rPr>
          <w:t xml:space="preserve">подпунктом 6 пункта 2</w:t>
        </w:r>
      </w:hyperlink>
      <w:r>
        <w:rPr>
          <w:sz w:val="20"/>
        </w:rPr>
        <w:t xml:space="preserve"> настоящего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8) 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w:t>
      </w:r>
    </w:p>
    <w:p>
      <w:pPr>
        <w:pStyle w:val="0"/>
        <w:spacing w:before="200" w:lineRule="auto"/>
        <w:ind w:firstLine="540"/>
        <w:jc w:val="both"/>
      </w:pPr>
      <w:r>
        <w:rPr>
          <w:sz w:val="20"/>
        </w:rPr>
        <w:t xml:space="preserve">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и участники отбора, не имеющие работников и не являющиеся работодателями;</w:t>
      </w:r>
    </w:p>
    <w:bookmarkStart w:id="289" w:name="P289"/>
    <w:bookmarkEnd w:id="289"/>
    <w:p>
      <w:pPr>
        <w:pStyle w:val="0"/>
        <w:spacing w:before="200" w:lineRule="auto"/>
        <w:ind w:firstLine="540"/>
        <w:jc w:val="both"/>
      </w:pPr>
      <w:r>
        <w:rPr>
          <w:sz w:val="20"/>
        </w:rPr>
        <w:t xml:space="preserve">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w:t>
      </w:r>
    </w:p>
    <w:p>
      <w:pPr>
        <w:pStyle w:val="0"/>
        <w:spacing w:before="200" w:lineRule="auto"/>
        <w:ind w:firstLine="540"/>
        <w:jc w:val="both"/>
      </w:pPr>
      <w:r>
        <w:rPr>
          <w:sz w:val="20"/>
        </w:rPr>
        <w:t xml:space="preserve">При определении отношения размера среднемесячной заработной платы в расчете на одного работника: не учитываются внешние совместители; величина МРОТ, установленная в соответствии с Федеральным </w:t>
      </w:r>
      <w:hyperlink w:history="0" r:id="rId117" w:tooltip="Федеральный закон от 19.06.2000 N 82-ФЗ (ред. от 28.11.2025) &quot;О минимальном размере оплаты труда&quot; {КонсультантПлюс}">
        <w:r>
          <w:rPr>
            <w:sz w:val="20"/>
            <w:color w:val="0000ff"/>
          </w:rPr>
          <w:t xml:space="preserve">законом</w:t>
        </w:r>
      </w:hyperlink>
      <w:r>
        <w:rPr>
          <w:sz w:val="20"/>
        </w:rPr>
        <w:t xml:space="preserve"> от 19.06.2000 N 82-ФЗ "О минимальном размере оплаты труда", увеличивается на размеры районного коэффициента и процентных надбавок, начисляемых в связи с работой в местностях с особыми климатическими условиями, установленными для муниципального образования городского округа города Красноярска Красноярского края, на территории которого реализуется проект, в соответствии с </w:t>
      </w:r>
      <w:hyperlink w:history="0" r:id="rId118" w:tooltip="Закон Красноярского края от 03.12.2004 N 12-2668 (ред. от 28.05.2026) &quot;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quot; (подписан Губернатором Красноярского края 22.12.2004) {КонсультантПлюс}">
        <w:r>
          <w:rPr>
            <w:sz w:val="20"/>
            <w:color w:val="0000ff"/>
          </w:rPr>
          <w:t xml:space="preserve">Законом</w:t>
        </w:r>
      </w:hyperlink>
      <w:r>
        <w:rPr>
          <w:sz w:val="20"/>
        </w:rPr>
        <w:t xml:space="preserve"> Красноярского края от 03.12.2004 N 12-2668 "О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w:t>
      </w:r>
    </w:p>
    <w:p>
      <w:pPr>
        <w:pStyle w:val="0"/>
        <w:spacing w:before="200" w:lineRule="auto"/>
        <w:ind w:firstLine="540"/>
        <w:jc w:val="both"/>
      </w:pPr>
      <w:r>
        <w:rPr>
          <w:sz w:val="20"/>
        </w:rPr>
        <w:t xml:space="preserve">Показателями, образующими критерий оценки, являются: участники отбора, не имеющие работников и не являющиеся работодателями, участники отбора, имеющие работников и являющиеся работодателями;</w:t>
      </w:r>
    </w:p>
    <w:p>
      <w:pPr>
        <w:pStyle w:val="0"/>
        <w:spacing w:before="200" w:lineRule="auto"/>
        <w:ind w:firstLine="540"/>
        <w:jc w:val="both"/>
      </w:pPr>
      <w:r>
        <w:rPr>
          <w:sz w:val="20"/>
        </w:rPr>
        <w:t xml:space="preserve">10) 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за исключением доходов, полученных участником отбора в соответствующем году в форме субсидий и грантов, привлекаемых 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 отбора на возмещение недополученных доходов).</w:t>
      </w:r>
    </w:p>
    <w:p>
      <w:pPr>
        <w:pStyle w:val="0"/>
        <w:jc w:val="both"/>
      </w:pPr>
      <w:r>
        <w:rPr>
          <w:sz w:val="20"/>
        </w:rPr>
        <w:t xml:space="preserve">(пп. 10 в ред. </w:t>
      </w:r>
      <w:hyperlink w:history="0" r:id="rId11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11) наличие/отсутствие соглашения о реализации мероприятий по повышению производительности труда, заключенного между предприятием и Федеральным и (или) региональным центром компетенций (далее - ФЦК/РЦК);</w:t>
      </w:r>
    </w:p>
    <w:p>
      <w:pPr>
        <w:pStyle w:val="0"/>
        <w:jc w:val="both"/>
      </w:pPr>
      <w:r>
        <w:rPr>
          <w:sz w:val="20"/>
        </w:rPr>
        <w:t xml:space="preserve">(пп. 11 в ред. </w:t>
      </w:r>
      <w:hyperlink w:history="0" r:id="rId12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12) проект соответствует/не соответствует задаче по достижению национальной цели - технологического лидерства по направлениям "Перспективные космические технологии и сервисы", "Беспилотные авиационные системы", "Продовольственная безопасность", "Средства производства и автоматизации", "Новые материалы и химия", "Новые технологии сбережения здоровья", "Биоэкономика", "Новые технологические технологии", "Промышленное обеспечение транспортной мобильности" и будет способствовать достижению показателей "увеличение уровня валовой добавленной стоимости в обрабатывающей промышленности", "увеличение доли отечественных высокотехнологичных товаров и услуг", "снижение к 2030 году доли импорта товаров и услуг в валовом внутреннем продукте до 17 процентов";</w:t>
      </w:r>
    </w:p>
    <w:p>
      <w:pPr>
        <w:pStyle w:val="0"/>
        <w:jc w:val="both"/>
      </w:pPr>
      <w:r>
        <w:rPr>
          <w:sz w:val="20"/>
        </w:rPr>
        <w:t xml:space="preserve">(пп. 12 в ред. </w:t>
      </w:r>
      <w:hyperlink w:history="0" r:id="rId12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13) наличие/отсутствие у участника отбора трудоустроенных участников специальной военной операции (далее - участники СВО).</w:t>
      </w:r>
    </w:p>
    <w:p>
      <w:pPr>
        <w:pStyle w:val="0"/>
        <w:jc w:val="both"/>
      </w:pPr>
      <w:r>
        <w:rPr>
          <w:sz w:val="20"/>
        </w:rPr>
        <w:t xml:space="preserve">(пп. 13 в ред. </w:t>
      </w:r>
      <w:hyperlink w:history="0" r:id="rId122"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Абзацы семнадцатый - двадцатый утратили силу. - </w:t>
      </w:r>
      <w:hyperlink w:history="0" r:id="rId12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w:t>
        </w:r>
      </w:hyperlink>
      <w:r>
        <w:rPr>
          <w:sz w:val="20"/>
        </w:rPr>
        <w:t xml:space="preserve"> администрации г. Красноярска от 17.06.2026 N 532.</w:t>
      </w:r>
    </w:p>
    <w:p>
      <w:pPr>
        <w:pStyle w:val="0"/>
        <w:spacing w:before="200" w:lineRule="auto"/>
        <w:ind w:firstLine="540"/>
        <w:jc w:val="both"/>
      </w:pPr>
      <w:r>
        <w:rPr>
          <w:sz w:val="20"/>
        </w:rPr>
        <w:t xml:space="preserve">Порядок рассмотрения и оценки заявок на предмет их соответствия установленным настоящим Положением требованиям осуществляется с учетом следующих условий:</w:t>
      </w:r>
    </w:p>
    <w:p>
      <w:pPr>
        <w:pStyle w:val="0"/>
        <w:spacing w:before="200" w:lineRule="auto"/>
        <w:ind w:firstLine="540"/>
        <w:jc w:val="both"/>
      </w:pPr>
      <w:r>
        <w:rPr>
          <w:sz w:val="20"/>
        </w:rPr>
        <w:t xml:space="preserve">сумма величин значимости всех применяемых критериев оценки составляет 100 процентов;</w:t>
      </w:r>
    </w:p>
    <w:p>
      <w:pPr>
        <w:pStyle w:val="0"/>
        <w:spacing w:before="200" w:lineRule="auto"/>
        <w:ind w:firstLine="540"/>
        <w:jc w:val="both"/>
      </w:pPr>
      <w:r>
        <w:rPr>
          <w:sz w:val="20"/>
        </w:rPr>
        <w:t xml:space="preserve">сумма величин значимости всех применяемых показателей, образующих критерий оценки, составляет 100 процентов;</w:t>
      </w:r>
    </w:p>
    <w:p>
      <w:pPr>
        <w:pStyle w:val="0"/>
        <w:spacing w:before="200" w:lineRule="auto"/>
        <w:ind w:firstLine="540"/>
        <w:jc w:val="both"/>
      </w:pPr>
      <w:r>
        <w:rPr>
          <w:sz w:val="20"/>
        </w:rPr>
        <w:t xml:space="preserve">начисление баллов по критериям оценки или показателям критериев оценки осуществляется с использованием 100-балльной шкалы оценки;</w:t>
      </w:r>
    </w:p>
    <w:p>
      <w:pPr>
        <w:pStyle w:val="0"/>
        <w:spacing w:before="200" w:lineRule="auto"/>
        <w:ind w:firstLine="540"/>
        <w:jc w:val="both"/>
      </w:pPr>
      <w:r>
        <w:rPr>
          <w:sz w:val="20"/>
        </w:rPr>
        <w:t xml:space="preserve">шкалы оценки по критериям оценки или показателям критериев оценки должны иметь конкретные значения, а не диапазон оценки в несколько баллов;</w:t>
      </w:r>
    </w:p>
    <w:p>
      <w:pPr>
        <w:pStyle w:val="0"/>
        <w:spacing w:before="200" w:lineRule="auto"/>
        <w:ind w:firstLine="540"/>
        <w:jc w:val="both"/>
      </w:pPr>
      <w:r>
        <w:rPr>
          <w:sz w:val="20"/>
        </w:rPr>
        <w:t xml:space="preserve">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bookmarkStart w:id="307" w:name="P307"/>
    <w:bookmarkEnd w:id="307"/>
    <w:p>
      <w:pPr>
        <w:pStyle w:val="0"/>
        <w:spacing w:before="200" w:lineRule="auto"/>
        <w:ind w:firstLine="540"/>
        <w:jc w:val="both"/>
      </w:pPr>
      <w:r>
        <w:rPr>
          <w:sz w:val="20"/>
        </w:rPr>
        <w:t xml:space="preserve">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w:t>
      </w:r>
    </w:p>
    <w:p>
      <w:pPr>
        <w:pStyle w:val="0"/>
        <w:spacing w:before="200" w:lineRule="auto"/>
        <w:ind w:firstLine="540"/>
        <w:jc w:val="both"/>
      </w:pPr>
      <w:r>
        <w:rPr>
          <w:sz w:val="20"/>
        </w:rPr>
        <w:t xml:space="preserve">при равенстве значений итоговой суммы баллов по всем критериям оценки, указанным в </w:t>
      </w:r>
      <w:hyperlink w:history="0" w:anchor="P277"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 заявки ранжируются исходя из очередности их поступления в ГИИС "Электронный бюджет" в соответствии с </w:t>
      </w:r>
      <w:hyperlink w:history="0" w:anchor="P173"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пунктом 15</w:t>
        </w:r>
      </w:hyperlink>
      <w:r>
        <w:rPr>
          <w:sz w:val="20"/>
        </w:rPr>
        <w:t xml:space="preserve"> настоящего Положения.</w:t>
      </w:r>
    </w:p>
    <w:p>
      <w:pPr>
        <w:pStyle w:val="0"/>
        <w:jc w:val="both"/>
      </w:pPr>
      <w:r>
        <w:rPr>
          <w:sz w:val="20"/>
        </w:rPr>
        <w:t xml:space="preserve">(п. 22 в ред. </w:t>
      </w:r>
      <w:hyperlink w:history="0" r:id="rId12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10" w:name="P310"/>
    <w:bookmarkEnd w:id="310"/>
    <w:p>
      <w:pPr>
        <w:pStyle w:val="0"/>
        <w:spacing w:before="200" w:lineRule="auto"/>
        <w:ind w:firstLine="540"/>
        <w:jc w:val="both"/>
      </w:pPr>
      <w:r>
        <w:rPr>
          <w:sz w:val="20"/>
        </w:rPr>
        <w:t xml:space="preserve">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w:t>
      </w:r>
    </w:p>
    <w:p>
      <w:pPr>
        <w:pStyle w:val="0"/>
        <w:spacing w:before="200" w:lineRule="auto"/>
        <w:ind w:firstLine="540"/>
        <w:jc w:val="both"/>
      </w:pPr>
      <w:r>
        <w:rPr>
          <w:sz w:val="20"/>
        </w:rPr>
        <w:t xml:space="preserve">Победителями конкурса признаются участники отбора, заявки которых получили итоговый балл в каждой оценочной ведомости членов комиссии, значение которого соответствует или превышает значение минимального проходного балла, установленного </w:t>
      </w:r>
      <w:hyperlink w:history="0" w:anchor="P310" w:tooltip="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Участнику отбора, набравшему максимальное количество баллов, присваивается первое место.</w:t>
      </w:r>
    </w:p>
    <w:bookmarkStart w:id="313" w:name="P313"/>
    <w:bookmarkEnd w:id="313"/>
    <w:p>
      <w:pPr>
        <w:pStyle w:val="0"/>
        <w:spacing w:before="200" w:lineRule="auto"/>
        <w:ind w:firstLine="540"/>
        <w:jc w:val="both"/>
      </w:pPr>
      <w:r>
        <w:rPr>
          <w:sz w:val="20"/>
        </w:rPr>
        <w:t xml:space="preserve">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w:t>
      </w:r>
    </w:p>
    <w:p>
      <w:pPr>
        <w:pStyle w:val="0"/>
        <w:spacing w:before="200" w:lineRule="auto"/>
        <w:ind w:firstLine="540"/>
        <w:jc w:val="both"/>
      </w:pPr>
      <w:r>
        <w:rPr>
          <w:sz w:val="20"/>
        </w:rPr>
        <w:t xml:space="preserve">дату, время, место рассмотрения и оценки заявок;</w:t>
      </w:r>
    </w:p>
    <w:p>
      <w:pPr>
        <w:pStyle w:val="0"/>
        <w:spacing w:before="200" w:lineRule="auto"/>
        <w:ind w:firstLine="540"/>
        <w:jc w:val="both"/>
      </w:pPr>
      <w:r>
        <w:rPr>
          <w:sz w:val="20"/>
        </w:rPr>
        <w:t xml:space="preserve">информацию об участниках отбора, заявки которых рассмотрены;</w:t>
      </w:r>
    </w:p>
    <w:p>
      <w:pPr>
        <w:pStyle w:val="0"/>
        <w:spacing w:before="200" w:lineRule="auto"/>
        <w:ind w:firstLine="540"/>
        <w:jc w:val="both"/>
      </w:pPr>
      <w:r>
        <w:rPr>
          <w:sz w:val="20"/>
        </w:rPr>
        <w:t xml:space="preserve">информацию об участниках отбора, заявки которых отклонены, с указанием оснований отклонения заявок, установленных </w:t>
      </w:r>
      <w:hyperlink w:history="0" w:anchor="P339"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 в том числе положений объявления о проведении конкурса, которым не соответствуют такие заявки;</w:t>
      </w:r>
    </w:p>
    <w:p>
      <w:pPr>
        <w:pStyle w:val="0"/>
        <w:spacing w:before="200" w:lineRule="auto"/>
        <w:ind w:firstLine="540"/>
        <w:jc w:val="both"/>
      </w:pPr>
      <w:r>
        <w:rPr>
          <w:sz w:val="20"/>
        </w:rPr>
        <w:t xml:space="preserve">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таким заявкам порядковых номеров;</w:t>
      </w:r>
    </w:p>
    <w:p>
      <w:pPr>
        <w:pStyle w:val="0"/>
        <w:spacing w:before="200" w:lineRule="auto"/>
        <w:ind w:firstLine="540"/>
        <w:jc w:val="both"/>
      </w:pPr>
      <w:r>
        <w:rPr>
          <w:sz w:val="20"/>
        </w:rPr>
        <w:t xml:space="preserve">наименование получателей субсидии, с которыми заключаются соглашения, и размеры предоставляемой им субсидии.</w:t>
      </w:r>
    </w:p>
    <w:p>
      <w:pPr>
        <w:pStyle w:val="0"/>
        <w:spacing w:before="200" w:lineRule="auto"/>
        <w:ind w:firstLine="540"/>
        <w:jc w:val="both"/>
      </w:pPr>
      <w:r>
        <w:rPr>
          <w:sz w:val="20"/>
        </w:rPr>
        <w:t xml:space="preserve">Протокол подведения итогов конкурса формируется на едином портале автоматически на основании результатов определения победителя (победителей) конкурса, подписывается в течение 2 рабочих дней усиленной квалифицированной электронной подписью всех участвующих в конкурсе членов комиссии в ГИИС "Электронный бюджет" и размещается на едином портале и Сайте не позднее 1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подведения итогов конкурса осуществляется не позднее 10 календарных дней со дня подписания первой его версии путем формирования новой версии протокола подведения итогов конкурса с указанием причин внесения изменений.</w:t>
      </w:r>
    </w:p>
    <w:bookmarkStart w:id="321" w:name="P321"/>
    <w:bookmarkEnd w:id="321"/>
    <w:p>
      <w:pPr>
        <w:pStyle w:val="0"/>
        <w:spacing w:before="200" w:lineRule="auto"/>
        <w:ind w:firstLine="540"/>
        <w:jc w:val="both"/>
      </w:pPr>
      <w:r>
        <w:rPr>
          <w:sz w:val="20"/>
        </w:rPr>
        <w:t xml:space="preserve">25. Для подтверждения соответствия участника отбора категориям получателей субсидии,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для подтверждения соответствия участника отбора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единой системы межведомственного электронного взаимодействия, доступ к которым имеет уполномоченный орган в рамках межведомственного информационного взаимодействия, за исключением случая, если участник отбора (получатель субсидии) готов представить указанные документы и информацию по собственной инициативе.</w:t>
      </w:r>
    </w:p>
    <w:p>
      <w:pPr>
        <w:pStyle w:val="0"/>
        <w:spacing w:before="200" w:lineRule="auto"/>
        <w:ind w:firstLine="540"/>
        <w:jc w:val="both"/>
      </w:pPr>
      <w:r>
        <w:rPr>
          <w:sz w:val="20"/>
        </w:rPr>
        <w:t xml:space="preserve">Проверка на соответствие участника отбора категориям получателей субсидии и требованиям к участникам отбора,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осуществляется на основании:</w:t>
      </w:r>
    </w:p>
    <w:bookmarkStart w:id="323" w:name="P323"/>
    <w:bookmarkEnd w:id="323"/>
    <w:p>
      <w:pPr>
        <w:pStyle w:val="0"/>
        <w:spacing w:before="200" w:lineRule="auto"/>
        <w:ind w:firstLine="540"/>
        <w:jc w:val="both"/>
      </w:pPr>
      <w:r>
        <w:rPr>
          <w:sz w:val="20"/>
        </w:rPr>
        <w:t xml:space="preserve">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получателей субсидии и требованиям к участникам отбора, указанным в </w:t>
      </w:r>
      <w:hyperlink w:history="0" w:anchor="P131" w:tooltip="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закона N 209-ФЗ к малым предприятиям, в том числе к микропредприятиям, и средним предприятиям;">
        <w:r>
          <w:rPr>
            <w:sz w:val="20"/>
            <w:color w:val="0000ff"/>
          </w:rPr>
          <w:t xml:space="preserve">подпунктах 1</w:t>
        </w:r>
      </w:hyperlink>
      <w:r>
        <w:rPr>
          <w:sz w:val="20"/>
        </w:rPr>
        <w:t xml:space="preserve"> - </w:t>
      </w:r>
      <w:hyperlink w:history="0" w:anchor="P134" w:tooltip="4) в отношении участника отбора в текущем финансовом году не было принято решение об оказании аналогичной поддержки или сроки ее оказания истекли;">
        <w:r>
          <w:rPr>
            <w:sz w:val="20"/>
            <w:color w:val="0000ff"/>
          </w:rPr>
          <w:t xml:space="preserve">4 пункта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пункте 11</w:t>
        </w:r>
      </w:hyperlink>
      <w:r>
        <w:rPr>
          <w:sz w:val="20"/>
        </w:rPr>
        <w:t xml:space="preserve"> настоящего Положения;</w:t>
      </w:r>
    </w:p>
    <w:p>
      <w:pPr>
        <w:pStyle w:val="0"/>
        <w:spacing w:before="200" w:lineRule="auto"/>
        <w:ind w:firstLine="540"/>
        <w:jc w:val="both"/>
      </w:pPr>
      <w:r>
        <w:rPr>
          <w:sz w:val="20"/>
        </w:rPr>
        <w:t xml:space="preserve">2) сведений о наличии (отсутствии) установленных фактов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соответствия категориям получателей субсидии, указанным в </w:t>
      </w:r>
      <w:hyperlink w:history="0" w:anchor="P135" w:tooltip="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w:r>
          <w:rPr>
            <w:sz w:val="20"/>
            <w:color w:val="0000ff"/>
          </w:rPr>
          <w:t xml:space="preserve">подпункте 5 пункта 10</w:t>
        </w:r>
      </w:hyperlink>
      <w:r>
        <w:rPr>
          <w:sz w:val="20"/>
        </w:rPr>
        <w:t xml:space="preserve"> настоящего Положения;</w:t>
      </w:r>
    </w:p>
    <w:bookmarkStart w:id="325" w:name="P325"/>
    <w:bookmarkEnd w:id="325"/>
    <w:p>
      <w:pPr>
        <w:pStyle w:val="0"/>
        <w:spacing w:before="200" w:lineRule="auto"/>
        <w:ind w:firstLine="540"/>
        <w:jc w:val="both"/>
      </w:pPr>
      <w:r>
        <w:rPr>
          <w:sz w:val="20"/>
        </w:rPr>
        <w:t xml:space="preserve">3) сведений о соответствии категориям получателей субсидии, указанным в </w:t>
      </w:r>
      <w:hyperlink w:history="0" w:anchor="P136" w:tooltip="6) принял в случае получения субсидии обязательства, установленные пунктом 38 настоящего Положения.">
        <w:r>
          <w:rPr>
            <w:sz w:val="20"/>
            <w:color w:val="0000ff"/>
          </w:rPr>
          <w:t xml:space="preserve">подпункте 6 пункта 10</w:t>
        </w:r>
      </w:hyperlink>
      <w:r>
        <w:rPr>
          <w:sz w:val="20"/>
        </w:rPr>
        <w:t xml:space="preserve">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"Электронный бюджет".</w:t>
      </w:r>
    </w:p>
    <w:bookmarkStart w:id="326" w:name="P326"/>
    <w:bookmarkEnd w:id="326"/>
    <w:p>
      <w:pPr>
        <w:pStyle w:val="0"/>
        <w:spacing w:before="200" w:lineRule="auto"/>
        <w:ind w:firstLine="540"/>
        <w:jc w:val="both"/>
      </w:pPr>
      <w:r>
        <w:rPr>
          <w:sz w:val="20"/>
        </w:rPr>
        <w:t xml:space="preserve">26. Проверка на соответствие участника отбора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00" w:lineRule="auto"/>
        <w:ind w:firstLine="540"/>
        <w:jc w:val="both"/>
      </w:pPr>
      <w:r>
        <w:rPr>
          <w:sz w:val="20"/>
        </w:rPr>
        <w:t xml:space="preserve">В случае отсутствия технической возможности автоматической проверки в ГИИС "Электронный бюджет" подтверждение соответствия участника отбора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bookmarkStart w:id="328" w:name="P328"/>
    <w:bookmarkEnd w:id="328"/>
    <w:p>
      <w:pPr>
        <w:pStyle w:val="0"/>
        <w:spacing w:before="200" w:lineRule="auto"/>
        <w:ind w:firstLine="540"/>
        <w:jc w:val="both"/>
      </w:pPr>
      <w:r>
        <w:rPr>
          <w:sz w:val="20"/>
        </w:rPr>
        <w:t xml:space="preserve">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соответствии с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абзацем первым</w:t>
        </w:r>
      </w:hyperlink>
      <w:r>
        <w:rPr>
          <w:sz w:val="20"/>
        </w:rPr>
        <w:t xml:space="preserve">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w:t>
      </w:r>
    </w:p>
    <w:bookmarkStart w:id="329" w:name="P329"/>
    <w:bookmarkEnd w:id="329"/>
    <w:p>
      <w:pPr>
        <w:pStyle w:val="0"/>
        <w:spacing w:before="200" w:lineRule="auto"/>
        <w:ind w:firstLine="540"/>
        <w:jc w:val="both"/>
      </w:pPr>
      <w:r>
        <w:rPr>
          <w:sz w:val="20"/>
        </w:rPr>
        <w:t xml:space="preserve">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45" w:tooltip="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w:r>
          <w:rPr>
            <w:sz w:val="20"/>
            <w:color w:val="0000ff"/>
          </w:rPr>
          <w:t xml:space="preserve">подпункте 1 пункта 15</w:t>
        </w:r>
      </w:hyperlink>
      <w:r>
        <w:rPr>
          <w:sz w:val="20"/>
        </w:rPr>
        <w:t xml:space="preserve"> настоящего Положения;</w:t>
      </w:r>
    </w:p>
    <w:p>
      <w:pPr>
        <w:pStyle w:val="0"/>
        <w:spacing w:before="200" w:lineRule="auto"/>
        <w:ind w:firstLine="540"/>
        <w:jc w:val="both"/>
      </w:pPr>
      <w:r>
        <w:rPr>
          <w:sz w:val="20"/>
        </w:rPr>
        <w:t xml:space="preserve">2)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в сети Интернет на официальном сайте Федеральной службы по финансовому мониторингу (далее - Росфинмониторинг),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6" w:tooltip="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0"/>
            <w:color w:val="0000ff"/>
          </w:rPr>
          <w:t xml:space="preserve">подпункте 2 пункта 12</w:t>
        </w:r>
      </w:hyperlink>
      <w:r>
        <w:rPr>
          <w:sz w:val="20"/>
        </w:rPr>
        <w:t xml:space="preserve"> настоящего Положения;</w:t>
      </w:r>
    </w:p>
    <w:p>
      <w:pPr>
        <w:pStyle w:val="0"/>
        <w:spacing w:before="200" w:lineRule="auto"/>
        <w:ind w:firstLine="540"/>
        <w:jc w:val="both"/>
      </w:pPr>
      <w:r>
        <w:rPr>
          <w:sz w:val="20"/>
        </w:rPr>
        <w:t xml:space="preserve">3)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в сети Интернет на официальном сайте Росфинмониторинга,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7" w:tooltip="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r>
          <w:rPr>
            <w:sz w:val="20"/>
            <w:color w:val="0000ff"/>
          </w:rPr>
          <w:t xml:space="preserve">подпункте 3 пункта 12</w:t>
        </w:r>
      </w:hyperlink>
      <w:r>
        <w:rPr>
          <w:sz w:val="20"/>
        </w:rPr>
        <w:t xml:space="preserve"> настоящего Положения;</w:t>
      </w:r>
    </w:p>
    <w:p>
      <w:pPr>
        <w:pStyle w:val="0"/>
        <w:spacing w:before="200" w:lineRule="auto"/>
        <w:ind w:firstLine="540"/>
        <w:jc w:val="both"/>
      </w:pPr>
      <w:r>
        <w:rPr>
          <w:sz w:val="20"/>
        </w:rPr>
        <w:t xml:space="preserve">4) выписки из Единого реестра субъектов малого и среднего предпринимательства - получателей поддержки,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8" w:tooltip="4) не получает средства из бюджета города Красноярск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ожением;">
        <w:r>
          <w:rPr>
            <w:sz w:val="20"/>
            <w:color w:val="0000ff"/>
          </w:rPr>
          <w:t xml:space="preserve">подпункте 4 пункта 12</w:t>
        </w:r>
      </w:hyperlink>
      <w:r>
        <w:rPr>
          <w:sz w:val="20"/>
        </w:rPr>
        <w:t xml:space="preserve"> настоящего Положения;</w:t>
      </w:r>
    </w:p>
    <w:p>
      <w:pPr>
        <w:pStyle w:val="0"/>
        <w:spacing w:before="200" w:lineRule="auto"/>
        <w:ind w:firstLine="540"/>
        <w:jc w:val="both"/>
      </w:pPr>
      <w:r>
        <w:rPr>
          <w:sz w:val="20"/>
        </w:rPr>
        <w:t xml:space="preserve">5) выписки из Единого реестра иностранных агентов в России в соответствии с Федеральным </w:t>
      </w:r>
      <w:hyperlink w:history="0" r:id="rId125"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 размещенного в сети Интернет на официальном сайте Министерства юстиции Российской Федерации в разделе "Деятельность" по направлению "Деятельность в сфере иностранных агентов",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9" w:tooltip="5) не является иностранным агентом в соответствии с Федеральным законом от 14.07.2022 N 255-ФЗ &quot;О контроле за деятельностью лиц, находящихся под иностранным влиянием&quot;;">
        <w:r>
          <w:rPr>
            <w:sz w:val="20"/>
            <w:color w:val="0000ff"/>
          </w:rPr>
          <w:t xml:space="preserve">подпункте 5 пункта 12</w:t>
        </w:r>
      </w:hyperlink>
      <w:r>
        <w:rPr>
          <w:sz w:val="20"/>
        </w:rPr>
        <w:t xml:space="preserve"> настоящего Положения;</w:t>
      </w:r>
    </w:p>
    <w:p>
      <w:pPr>
        <w:pStyle w:val="0"/>
        <w:spacing w:before="200" w:lineRule="auto"/>
        <w:ind w:firstLine="540"/>
        <w:jc w:val="both"/>
      </w:pPr>
      <w:r>
        <w:rPr>
          <w:sz w:val="20"/>
        </w:rPr>
        <w:t xml:space="preserve">6) сведений с использованием программного обеспечения в рамках межведомственного электронного взаимодействия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0" w:tooltip="6) на его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r>
          <w:rPr>
            <w:sz w:val="20"/>
            <w:color w:val="0000ff"/>
          </w:rPr>
          <w:t xml:space="preserve">подпункте 6 пункта 12</w:t>
        </w:r>
      </w:hyperlink>
      <w:r>
        <w:rPr>
          <w:sz w:val="20"/>
        </w:rPr>
        <w:t xml:space="preserve"> настоящего Положения;</w:t>
      </w:r>
    </w:p>
    <w:p>
      <w:pPr>
        <w:pStyle w:val="0"/>
        <w:spacing w:before="200" w:lineRule="auto"/>
        <w:ind w:firstLine="540"/>
        <w:jc w:val="both"/>
      </w:pPr>
      <w:r>
        <w:rPr>
          <w:sz w:val="20"/>
        </w:rPr>
        <w:t xml:space="preserve">7) сведений, размещенных в сети Интернет на официальном сайте Арбитражного суда Красноярского края в разделах "Картотека арбитражных дел", "Банк решений арбитражных дел", и сведений, размещенных в сети Интернет на официальном сайте Федеральной службы судебных приставов в разделе "Банк данных исполнительных производств",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1" w:tooltip="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местной администра...">
        <w:r>
          <w:rPr>
            <w:sz w:val="20"/>
            <w:color w:val="0000ff"/>
          </w:rPr>
          <w:t xml:space="preserve">подпункте 7 пункта 12</w:t>
        </w:r>
      </w:hyperlink>
      <w:r>
        <w:rPr>
          <w:sz w:val="20"/>
        </w:rPr>
        <w:t xml:space="preserve"> настоящего Положения;</w:t>
      </w:r>
    </w:p>
    <w:p>
      <w:pPr>
        <w:pStyle w:val="0"/>
        <w:spacing w:before="200" w:lineRule="auto"/>
        <w:ind w:firstLine="540"/>
        <w:jc w:val="both"/>
      </w:pPr>
      <w:r>
        <w:rPr>
          <w:sz w:val="20"/>
        </w:rPr>
        <w:t xml:space="preserve">8) выписки из Единого федерального реестра сведений о банкротстве, размещенного в сети Интернет, и (или) выписок из ЕГРЮЛ/ЕГРИП, размещенных в сети Интернет на официальном сайте Федеральной налоговой службы,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3" w:tooltip="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
        <w:r>
          <w:rPr>
            <w:sz w:val="20"/>
            <w:color w:val="0000ff"/>
          </w:rPr>
          <w:t xml:space="preserve">подпункте 8 пункта 12</w:t>
        </w:r>
      </w:hyperlink>
      <w:r>
        <w:rPr>
          <w:sz w:val="20"/>
        </w:rPr>
        <w:t xml:space="preserve"> настоящего Положения;</w:t>
      </w:r>
    </w:p>
    <w:bookmarkStart w:id="337" w:name="P337"/>
    <w:bookmarkEnd w:id="337"/>
    <w:p>
      <w:pPr>
        <w:pStyle w:val="0"/>
        <w:spacing w:before="200" w:lineRule="auto"/>
        <w:ind w:firstLine="540"/>
        <w:jc w:val="both"/>
      </w:pPr>
      <w:r>
        <w:rPr>
          <w:sz w:val="20"/>
        </w:rPr>
        <w:t xml:space="preserve">9) выписки из электронного сервиса "Реестр дисквалифицированных лиц" или "Прозрачный бизнес",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4" w:tooltip="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в реестре дисквалифицированных лиц отсутствуют сведения о дисквалифицированном индивидуальном предпринимателе - производителе товаров, работ, услуг;">
        <w:r>
          <w:rPr>
            <w:sz w:val="20"/>
            <w:color w:val="0000ff"/>
          </w:rPr>
          <w:t xml:space="preserve">подпункте 9 пункта 12</w:t>
        </w:r>
      </w:hyperlink>
      <w:r>
        <w:rPr>
          <w:sz w:val="20"/>
        </w:rPr>
        <w:t xml:space="preserve"> настоящего Положения;</w:t>
      </w:r>
    </w:p>
    <w:bookmarkStart w:id="338" w:name="P338"/>
    <w:bookmarkEnd w:id="338"/>
    <w:p>
      <w:pPr>
        <w:pStyle w:val="0"/>
        <w:spacing w:before="200" w:lineRule="auto"/>
        <w:ind w:firstLine="540"/>
        <w:jc w:val="both"/>
      </w:pPr>
      <w:r>
        <w:rPr>
          <w:sz w:val="20"/>
        </w:rPr>
        <w:t xml:space="preserve">10) сведений из Единого реестра субъектов малого и среднего предпринимательства и (или) из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5" w:tooltip="10) о нем отсутствует информация (истек срок действия информации) о совершенном нарушении порядка и условий оказания поддержки на основании положений пункта 4 части 5 статьи 14 Федерального закона N 209-ФЗ.">
        <w:r>
          <w:rPr>
            <w:sz w:val="20"/>
            <w:color w:val="0000ff"/>
          </w:rPr>
          <w:t xml:space="preserve">подпункте 10 пункта 12</w:t>
        </w:r>
      </w:hyperlink>
      <w:r>
        <w:rPr>
          <w:sz w:val="20"/>
        </w:rPr>
        <w:t xml:space="preserve"> настоящего Положения.</w:t>
      </w:r>
    </w:p>
    <w:bookmarkStart w:id="339" w:name="P339"/>
    <w:bookmarkEnd w:id="339"/>
    <w:p>
      <w:pPr>
        <w:pStyle w:val="0"/>
        <w:spacing w:before="200" w:lineRule="auto"/>
        <w:ind w:firstLine="540"/>
        <w:jc w:val="both"/>
      </w:pPr>
      <w:r>
        <w:rPr>
          <w:sz w:val="20"/>
        </w:rPr>
        <w:t xml:space="preserve">27. Основаниями для отклонения заявок при проведении конкурса являются:</w:t>
      </w:r>
    </w:p>
    <w:bookmarkStart w:id="340" w:name="P340"/>
    <w:bookmarkEnd w:id="340"/>
    <w:p>
      <w:pPr>
        <w:pStyle w:val="0"/>
        <w:spacing w:before="200" w:lineRule="auto"/>
        <w:ind w:firstLine="540"/>
        <w:jc w:val="both"/>
      </w:pPr>
      <w:r>
        <w:rPr>
          <w:sz w:val="20"/>
        </w:rPr>
        <w:t xml:space="preserve">1) 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2) несоответствие участника отбора категориям и (или) требованиям,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и (или)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и (или)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3) непредставление (представление не в полном объеме) документов, указанных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4) несоответствие представленных участником отбора заявок и (или) документов требованиям, установленным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Положением требованиям;</w:t>
      </w:r>
    </w:p>
    <w:p>
      <w:pPr>
        <w:pStyle w:val="0"/>
        <w:spacing w:before="200" w:lineRule="auto"/>
        <w:ind w:firstLine="540"/>
        <w:jc w:val="both"/>
      </w:pPr>
      <w:r>
        <w:rPr>
          <w:sz w:val="20"/>
        </w:rPr>
        <w:t xml:space="preserve">6) наличие в составе заявки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7) в текущем финансовом году до даты подачи заявки в отношении участника отбора было принято решение об оказании аналогичной поддержки (услуги) и сроки ее оказания не истекли;</w:t>
      </w:r>
    </w:p>
    <w:p>
      <w:pPr>
        <w:pStyle w:val="0"/>
        <w:spacing w:before="200" w:lineRule="auto"/>
        <w:ind w:firstLine="540"/>
        <w:jc w:val="both"/>
      </w:pPr>
      <w:r>
        <w:rPr>
          <w:sz w:val="20"/>
        </w:rPr>
        <w:t xml:space="preserve">8) отсутствие достаточного объема бюджетных ассигнований, предусмотренных в бюджете города Красноярска для предоставления субсидии 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испрашиваемой субсидии в заявке, определенном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9) с даты признания получателя субсидии совершившим нарушение порядка и условий оказания поддержки прошло менее одного года, за исключением случая более раннего устранения получателем субсидии такого нарушения при условии соблюдения им срока устранения такого нарушения, установленного главным распорядителем, оказавшим поддержку, и (или) органом муниципального финансового контроля,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получателя субсидии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главным распорядителем, оказавшим поддержку, и (или) органом муниципального финансового контроля выявлены нарушения получателем субсидии порядка и условий оказания поддержки, в том числе в результате проверки;</w:t>
      </w:r>
    </w:p>
    <w:p>
      <w:pPr>
        <w:pStyle w:val="0"/>
        <w:spacing w:before="200" w:lineRule="auto"/>
        <w:ind w:firstLine="540"/>
        <w:jc w:val="both"/>
      </w:pPr>
      <w:r>
        <w:rPr>
          <w:sz w:val="20"/>
        </w:rPr>
        <w:t xml:space="preserve">10) невыполнение условий оказания поддержки, указанных в настоящем Положении.</w:t>
      </w:r>
    </w:p>
    <w:bookmarkStart w:id="350" w:name="P350"/>
    <w:bookmarkEnd w:id="350"/>
    <w:p>
      <w:pPr>
        <w:pStyle w:val="0"/>
        <w:spacing w:before="200" w:lineRule="auto"/>
        <w:ind w:firstLine="540"/>
        <w:jc w:val="both"/>
      </w:pPr>
      <w:r>
        <w:rPr>
          <w:sz w:val="20"/>
        </w:rPr>
        <w:t xml:space="preserve">28. Уполномоченный орган на основании протокола подведения итогов конкурса в течение 2 рабочих дней, следующих за датой формирования на едином портале протокола подведения итогов конкурса, направляет участникам отбора в ГИИС "Электронный бюджет" уведомления об отклонении заявки с указанием оснований, установленных </w:t>
      </w:r>
      <w:hyperlink w:history="0" w:anchor="P339"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bookmarkStart w:id="351" w:name="P351"/>
    <w:bookmarkEnd w:id="351"/>
    <w:p>
      <w:pPr>
        <w:pStyle w:val="0"/>
        <w:spacing w:before="200" w:lineRule="auto"/>
        <w:ind w:firstLine="540"/>
        <w:jc w:val="both"/>
      </w:pPr>
      <w:r>
        <w:rPr>
          <w:sz w:val="20"/>
        </w:rPr>
        <w:t xml:space="preserve">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w:t>
      </w:r>
    </w:p>
    <w:p>
      <w:pPr>
        <w:pStyle w:val="0"/>
        <w:spacing w:before="200" w:lineRule="auto"/>
        <w:ind w:firstLine="540"/>
        <w:jc w:val="both"/>
      </w:pPr>
      <w:r>
        <w:rPr>
          <w:sz w:val="20"/>
        </w:rPr>
        <w:t xml:space="preserve">Правовой акт о предоставлении субсидии должен содержать перечень победителей конкурса и размер предоставляемой субсидии каждому победителю конкурса.</w:t>
      </w:r>
    </w:p>
    <w:bookmarkStart w:id="353" w:name="P353"/>
    <w:bookmarkEnd w:id="353"/>
    <w:p>
      <w:pPr>
        <w:pStyle w:val="0"/>
        <w:spacing w:before="200" w:lineRule="auto"/>
        <w:ind w:firstLine="540"/>
        <w:jc w:val="both"/>
      </w:pPr>
      <w:r>
        <w:rPr>
          <w:sz w:val="20"/>
        </w:rPr>
        <w:t xml:space="preserve">30. Уполномоченный орган в течение 2 рабочих дней со дня, следующего за днем вступления в силу правового акта о предоставлении субсидии, указанного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с использованием ГИИС "Электронный бюджет" уведомляет получателей субсидии:</w:t>
      </w:r>
    </w:p>
    <w:p>
      <w:pPr>
        <w:pStyle w:val="0"/>
        <w:spacing w:before="200" w:lineRule="auto"/>
        <w:ind w:firstLine="540"/>
        <w:jc w:val="both"/>
      </w:pPr>
      <w:r>
        <w:rPr>
          <w:sz w:val="20"/>
        </w:rPr>
        <w:t xml:space="preserve">1) о принятии правового акта о предоставлении субсидии;</w:t>
      </w:r>
    </w:p>
    <w:bookmarkStart w:id="355" w:name="P355"/>
    <w:bookmarkEnd w:id="355"/>
    <w:p>
      <w:pPr>
        <w:pStyle w:val="0"/>
        <w:spacing w:before="200" w:lineRule="auto"/>
        <w:ind w:firstLine="540"/>
        <w:jc w:val="both"/>
      </w:pPr>
      <w:r>
        <w:rPr>
          <w:sz w:val="20"/>
        </w:rPr>
        <w:t xml:space="preserve">2) 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руководителя получателя субсидии или уполномоченного им лица в случае принятия решения о соответствии получателя субсидии, заявки получателя субсидии требованиям, целям и условиям предоставления субсидии, установленным настоящим Положением.</w:t>
      </w:r>
    </w:p>
    <w:p>
      <w:pPr>
        <w:pStyle w:val="0"/>
        <w:jc w:val="both"/>
      </w:pPr>
      <w:r>
        <w:rPr>
          <w:sz w:val="20"/>
        </w:rPr>
        <w:t xml:space="preserve">(пп. 2 в ред. </w:t>
      </w:r>
      <w:hyperlink w:history="0" r:id="rId12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31. Хранение протоколов вскрытия заявок, протоколов рассмотрения заявок, протоколов подведения итогов конкурса и всех представленных документов в ГИИС "Электронный бюджет" осуществляется в порядке, определенном законодательством Российской Федерации об архивном деле и о государственной тайне.</w:t>
      </w:r>
    </w:p>
    <w:p>
      <w:pPr>
        <w:pStyle w:val="0"/>
        <w:ind w:firstLine="540"/>
        <w:jc w:val="both"/>
      </w:pPr>
      <w:r>
        <w:rPr>
          <w:sz w:val="20"/>
        </w:rPr>
      </w:r>
    </w:p>
    <w:p>
      <w:pPr>
        <w:pStyle w:val="2"/>
        <w:outlineLvl w:val="1"/>
        <w:jc w:val="center"/>
      </w:pPr>
      <w:r>
        <w:rPr>
          <w:sz w:val="20"/>
        </w:rPr>
        <w:t xml:space="preserve">III. УСЛОВИЯ И ПОРЯДОК ПРЕДОСТАВЛЕНИЯ СУБСИДИИ</w:t>
      </w:r>
    </w:p>
    <w:p>
      <w:pPr>
        <w:pStyle w:val="0"/>
        <w:ind w:firstLine="540"/>
        <w:jc w:val="both"/>
      </w:pPr>
      <w:r>
        <w:rPr>
          <w:sz w:val="20"/>
        </w:rPr>
      </w:r>
    </w:p>
    <w:bookmarkStart w:id="361" w:name="P361"/>
    <w:bookmarkEnd w:id="361"/>
    <w:p>
      <w:pPr>
        <w:pStyle w:val="0"/>
        <w:ind w:firstLine="540"/>
        <w:jc w:val="both"/>
      </w:pPr>
      <w:r>
        <w:rPr>
          <w:sz w:val="20"/>
        </w:rPr>
        <w:t xml:space="preserve">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пункте 33</w:t>
        </w:r>
      </w:hyperlink>
      <w:r>
        <w:rPr>
          <w:sz w:val="20"/>
        </w:rPr>
        <w:t xml:space="preserve">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w:t>
      </w:r>
    </w:p>
    <w:p>
      <w:pPr>
        <w:pStyle w:val="0"/>
        <w:ind w:firstLine="540"/>
        <w:jc w:val="both"/>
      </w:pPr>
      <w:r>
        <w:rPr>
          <w:sz w:val="20"/>
        </w:rPr>
      </w:r>
    </w:p>
    <w:p>
      <w:pPr>
        <w:pStyle w:val="0"/>
        <w:ind w:firstLine="540"/>
        <w:jc w:val="both"/>
      </w:pPr>
      <w:r>
        <w:rPr>
          <w:position w:val="-26"/>
        </w:rPr>
        <w:drawing>
          <wp:inline distT="0" distB="0" distL="0" distR="0">
            <wp:extent cx="41814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18147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 - наименование направления затрат в составе заявки из направлений, установленных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n - количество направлений затрат в составе заявки из количества, установленного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Общий размер субсидии, предоставляемой в году получения субсидии и в году, предшествующем году получения субсидии, одному получателю субсидии на реализацию проектов не может превышать 15000,0 тыс. рублей.</w:t>
      </w:r>
    </w:p>
    <w:p>
      <w:pPr>
        <w:pStyle w:val="0"/>
        <w:jc w:val="both"/>
      </w:pPr>
      <w:r>
        <w:rPr>
          <w:sz w:val="20"/>
        </w:rPr>
        <w:t xml:space="preserve">(п. 32 в ред. </w:t>
      </w:r>
      <w:hyperlink w:history="0" r:id="rId12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70" w:name="P370"/>
    <w:bookmarkEnd w:id="370"/>
    <w:p>
      <w:pPr>
        <w:pStyle w:val="0"/>
        <w:spacing w:before="200" w:lineRule="auto"/>
        <w:ind w:firstLine="540"/>
        <w:jc w:val="both"/>
      </w:pPr>
      <w:r>
        <w:rPr>
          <w:sz w:val="20"/>
        </w:rPr>
        <w:t xml:space="preserve">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производства товаров (работ, услуг), направленные на:</w:t>
      </w:r>
    </w:p>
    <w:bookmarkStart w:id="371" w:name="P371"/>
    <w:bookmarkEnd w:id="371"/>
    <w:p>
      <w:pPr>
        <w:pStyle w:val="0"/>
        <w:spacing w:before="200" w:lineRule="auto"/>
        <w:ind w:firstLine="540"/>
        <w:jc w:val="both"/>
      </w:pPr>
      <w:r>
        <w:rPr>
          <w:sz w:val="20"/>
        </w:rPr>
        <w:t xml:space="preserve">1)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w:t>
      </w:r>
    </w:p>
    <w:p>
      <w:pPr>
        <w:pStyle w:val="0"/>
        <w:spacing w:before="200" w:lineRule="auto"/>
        <w:ind w:firstLine="540"/>
        <w:jc w:val="both"/>
      </w:pPr>
      <w:r>
        <w:rPr>
          <w:sz w:val="20"/>
        </w:rPr>
        <w:t xml:space="preserve">2)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pPr>
        <w:pStyle w:val="0"/>
        <w:spacing w:before="200" w:lineRule="auto"/>
        <w:ind w:firstLine="540"/>
        <w:jc w:val="both"/>
      </w:pPr>
      <w:r>
        <w:rPr>
          <w:sz w:val="20"/>
        </w:rPr>
        <w:t xml:space="preserve">3) лицензирование деятельности, сертификацию (декларирование) продукции (продовольственного сырья, товаров, работ, услуг);</w:t>
      </w:r>
    </w:p>
    <w:p>
      <w:pPr>
        <w:pStyle w:val="0"/>
        <w:spacing w:before="200" w:lineRule="auto"/>
        <w:ind w:firstLine="540"/>
        <w:jc w:val="both"/>
      </w:pPr>
      <w:r>
        <w:rPr>
          <w:sz w:val="20"/>
        </w:rPr>
        <w:t xml:space="preserve">4)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pPr>
        <w:pStyle w:val="0"/>
        <w:spacing w:before="200" w:lineRule="auto"/>
        <w:ind w:firstLine="540"/>
        <w:jc w:val="both"/>
      </w:pPr>
      <w:r>
        <w:rPr>
          <w:sz w:val="20"/>
        </w:rPr>
        <w:t xml:space="preserve">5)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pPr>
        <w:pStyle w:val="0"/>
        <w:spacing w:before="200" w:lineRule="auto"/>
        <w:ind w:firstLine="540"/>
        <w:jc w:val="both"/>
      </w:pPr>
      <w:r>
        <w:rPr>
          <w:sz w:val="20"/>
        </w:rPr>
        <w:t xml:space="preserve">6)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N 719;</w:t>
      </w:r>
    </w:p>
    <w:bookmarkStart w:id="377" w:name="P377"/>
    <w:bookmarkEnd w:id="377"/>
    <w:p>
      <w:pPr>
        <w:pStyle w:val="0"/>
        <w:spacing w:before="200" w:lineRule="auto"/>
        <w:ind w:firstLine="540"/>
        <w:jc w:val="both"/>
      </w:pPr>
      <w:r>
        <w:rPr>
          <w:sz w:val="20"/>
        </w:rPr>
        <w:t xml:space="preserve">7)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pPr>
        <w:pStyle w:val="0"/>
        <w:spacing w:before="200" w:lineRule="auto"/>
        <w:ind w:firstLine="540"/>
        <w:jc w:val="both"/>
      </w:pPr>
      <w:r>
        <w:rPr>
          <w:sz w:val="20"/>
        </w:rPr>
        <w:t xml:space="preserve">Направления расходов, указанные в </w:t>
      </w:r>
      <w:hyperlink w:history="0" w:anchor="P371" w:tooltip="1)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
        <w:r>
          <w:rPr>
            <w:sz w:val="20"/>
            <w:color w:val="0000ff"/>
          </w:rPr>
          <w:t xml:space="preserve">подпунктах 1</w:t>
        </w:r>
      </w:hyperlink>
      <w:r>
        <w:rPr>
          <w:sz w:val="20"/>
        </w:rPr>
        <w:t xml:space="preserve"> - </w:t>
      </w:r>
      <w:hyperlink w:history="0" w:anchor="P377" w:tooltip="7)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
        <w:r>
          <w:rPr>
            <w:sz w:val="20"/>
            <w:color w:val="0000ff"/>
          </w:rPr>
          <w:t xml:space="preserve">7</w:t>
        </w:r>
      </w:hyperlink>
      <w:r>
        <w:rPr>
          <w:sz w:val="20"/>
        </w:rPr>
        <w:t xml:space="preserve"> настоящего пункта и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отражаются в </w:t>
      </w:r>
      <w:hyperlink w:history="0" w:anchor="P1300" w:tooltip="    5.  Денежные  средства  по  реализации  Проекта,  всего  (пункт  5.1  +">
        <w:r>
          <w:rPr>
            <w:sz w:val="20"/>
            <w:color w:val="0000ff"/>
          </w:rPr>
          <w:t xml:space="preserve">пунктах 5</w:t>
        </w:r>
      </w:hyperlink>
      <w:r>
        <w:rPr>
          <w:sz w:val="20"/>
        </w:rPr>
        <w:t xml:space="preserve">, </w:t>
      </w:r>
      <w:hyperlink w:history="0" w:anchor="P1302" w:tooltip="    5.1. Собственные средства, рублей: ___________________________________.">
        <w:r>
          <w:rPr>
            <w:sz w:val="20"/>
            <w:color w:val="0000ff"/>
          </w:rPr>
          <w:t xml:space="preserve">5.1</w:t>
        </w:r>
      </w:hyperlink>
      <w:r>
        <w:rPr>
          <w:sz w:val="20"/>
        </w:rPr>
        <w:t xml:space="preserve">, </w:t>
      </w:r>
      <w:hyperlink w:history="0" w:anchor="P1303" w:tooltip="    5.2.  Кредитные (заемные) средства на условиях платности и возвратности">
        <w:r>
          <w:rPr>
            <w:sz w:val="20"/>
            <w:color w:val="0000ff"/>
          </w:rPr>
          <w:t xml:space="preserve">5.2</w:t>
        </w:r>
      </w:hyperlink>
      <w:r>
        <w:rPr>
          <w:sz w:val="20"/>
        </w:rPr>
        <w:t xml:space="preserve"> сведений о реализации проекта, указанных в </w:t>
      </w:r>
      <w:hyperlink w:history="0" w:anchor="P184" w:tooltip="2) сведения о реализации проекта, составленные по форме согласно приложению 2 к настоящему Положению или в произвольной форме, которые должны содержать:">
        <w:r>
          <w:rPr>
            <w:sz w:val="20"/>
            <w:color w:val="0000ff"/>
          </w:rPr>
          <w:t xml:space="preserve">подпункте 2 пункта 17</w:t>
        </w:r>
      </w:hyperlink>
      <w:r>
        <w:rPr>
          <w:sz w:val="20"/>
        </w:rPr>
        <w:t xml:space="preserve"> настоящего Положения.</w:t>
      </w:r>
    </w:p>
    <w:p>
      <w:pPr>
        <w:pStyle w:val="0"/>
        <w:jc w:val="both"/>
      </w:pPr>
      <w:r>
        <w:rPr>
          <w:sz w:val="20"/>
        </w:rPr>
        <w:t xml:space="preserve">(п. 33 в ред. </w:t>
      </w:r>
      <w:hyperlink w:history="0" r:id="rId12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80" w:name="P380"/>
    <w:bookmarkEnd w:id="380"/>
    <w:p>
      <w:pPr>
        <w:pStyle w:val="0"/>
        <w:spacing w:before="200" w:lineRule="auto"/>
        <w:ind w:firstLine="540"/>
        <w:jc w:val="both"/>
      </w:pPr>
      <w:r>
        <w:rPr>
          <w:sz w:val="20"/>
        </w:rPr>
        <w:t xml:space="preserve">34. Затраты по направлениям, установленным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w:t>
      </w:r>
    </w:p>
    <w:bookmarkStart w:id="381" w:name="P381"/>
    <w:bookmarkEnd w:id="381"/>
    <w:p>
      <w:pPr>
        <w:pStyle w:val="0"/>
        <w:spacing w:before="200" w:lineRule="auto"/>
        <w:ind w:firstLine="540"/>
        <w:jc w:val="both"/>
      </w:pPr>
      <w:r>
        <w:rPr>
          <w:sz w:val="20"/>
        </w:rPr>
        <w:t xml:space="preserve">35. Не подлежат возмещению за счет субсидии затраты по направлениям, установленным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w:t>
      </w:r>
    </w:p>
    <w:bookmarkStart w:id="382" w:name="P382"/>
    <w:bookmarkEnd w:id="382"/>
    <w:p>
      <w:pPr>
        <w:pStyle w:val="0"/>
        <w:spacing w:before="200" w:lineRule="auto"/>
        <w:ind w:firstLine="540"/>
        <w:jc w:val="both"/>
      </w:pPr>
      <w:r>
        <w:rPr>
          <w:sz w:val="20"/>
        </w:rPr>
        <w:t xml:space="preserve">36. Основаниями для отказа получателю субсидии в предоставлении субсидии при проведении конкурса являются:</w:t>
      </w:r>
    </w:p>
    <w:p>
      <w:pPr>
        <w:pStyle w:val="0"/>
        <w:spacing w:before="200" w:lineRule="auto"/>
        <w:ind w:firstLine="540"/>
        <w:jc w:val="both"/>
      </w:pPr>
      <w:r>
        <w:rPr>
          <w:sz w:val="20"/>
        </w:rPr>
        <w:t xml:space="preserve">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 которые получатель субсидии должен представить самостоятельно;</w:t>
      </w:r>
    </w:p>
    <w:p>
      <w:pPr>
        <w:pStyle w:val="0"/>
        <w:spacing w:before="200" w:lineRule="auto"/>
        <w:ind w:firstLine="540"/>
        <w:jc w:val="both"/>
      </w:pPr>
      <w:r>
        <w:rPr>
          <w:sz w:val="20"/>
        </w:rPr>
        <w:t xml:space="preserve">2) установление факта недостоверности представленной получателем субсидии информации.</w:t>
      </w:r>
    </w:p>
    <w:bookmarkStart w:id="385" w:name="P385"/>
    <w:bookmarkEnd w:id="385"/>
    <w:p>
      <w:pPr>
        <w:pStyle w:val="0"/>
        <w:spacing w:before="200" w:lineRule="auto"/>
        <w:ind w:firstLine="540"/>
        <w:jc w:val="both"/>
      </w:pPr>
      <w:r>
        <w:rPr>
          <w:sz w:val="20"/>
        </w:rPr>
        <w:t xml:space="preserve">37. Результатами предоставления субсидии, включаемыми в соглашение, являются:</w:t>
      </w:r>
    </w:p>
    <w:bookmarkStart w:id="386" w:name="P386"/>
    <w:bookmarkEnd w:id="386"/>
    <w:p>
      <w:pPr>
        <w:pStyle w:val="0"/>
        <w:spacing w:before="200" w:lineRule="auto"/>
        <w:ind w:firstLine="540"/>
        <w:jc w:val="both"/>
      </w:pPr>
      <w:r>
        <w:rPr>
          <w:sz w:val="20"/>
        </w:rPr>
        <w:t xml:space="preserve">1) объем привлеченных инвестиций на реализацию проекта. Единица измерения: тысяч рублей.</w:t>
      </w:r>
    </w:p>
    <w:p>
      <w:pPr>
        <w:pStyle w:val="0"/>
        <w:spacing w:before="200" w:lineRule="auto"/>
        <w:ind w:firstLine="540"/>
        <w:jc w:val="both"/>
      </w:pPr>
      <w:r>
        <w:rPr>
          <w:sz w:val="20"/>
        </w:rPr>
        <w:t xml:space="preserve">При определении объема привлеченных инвестиций учитываются привлекаемые субъектом малого и среднего предпринимательства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инвестиций, привлеченных в форме субсидий и грантов (включая объем субсидий, предоставленных на возмещение недополученных доходов), предоставляемых из бюджетов всех уровней. 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 число месяца подачи заявки, указанное участником отбора (получателем субсидии) в заявлении;</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2) количество сохраненных рабочих мест (включая индивидуальных предпринимателей). Единица измерения: единица.</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для субъекта малого и среднего предпринимательства, имеющего работников и являющегося работодателем:</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достигнутое в году подачи заявки по состоянию на 1 число месяца подачи заявки, указанное участником отбора (получателем субсидии) в заявлении;</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для субъекта малого и среднего предпринимательства, не имеющего работников и не являющегося работодателем, значение принимается равным единице;</w:t>
      </w:r>
    </w:p>
    <w:bookmarkStart w:id="398" w:name="P398"/>
    <w:bookmarkEnd w:id="398"/>
    <w:p>
      <w:pPr>
        <w:pStyle w:val="0"/>
        <w:spacing w:before="200" w:lineRule="auto"/>
        <w:ind w:firstLine="540"/>
        <w:jc w:val="both"/>
      </w:pPr>
      <w:r>
        <w:rPr>
          <w:sz w:val="20"/>
        </w:rPr>
        <w:t xml:space="preserve">3) рост дохода субъекта малого и среднего предпринимательства в году подачи заявки в размере не менее 103,3 процента значения сводного индекса потребительских цен по Красноярскому краю, установленного в году подачи заявки. Единица измерения: процент.</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1-е число месяца подачи заявки, указанное участником отбора (получателем субсидии) в заявлении;</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При определении значения результата предоставления субсидии:</w:t>
      </w:r>
    </w:p>
    <w:p>
      <w:pPr>
        <w:pStyle w:val="0"/>
        <w:spacing w:before="200" w:lineRule="auto"/>
        <w:ind w:firstLine="540"/>
        <w:jc w:val="both"/>
      </w:pPr>
      <w:r>
        <w:rPr>
          <w:sz w:val="20"/>
        </w:rPr>
        <w:t xml:space="preserve">в отношении доходов, полученных субъектом малого и среднего предпринимательства, не учитываются средства, полученные субъектом малого и среднего предпринимательства на реализацию инвестиционного проекта в виде субсидий из всех уровней бюджетов;</w:t>
      </w:r>
    </w:p>
    <w:p>
      <w:pPr>
        <w:pStyle w:val="0"/>
        <w:spacing w:before="200" w:lineRule="auto"/>
        <w:ind w:firstLine="540"/>
        <w:jc w:val="both"/>
      </w:pPr>
      <w:r>
        <w:rPr>
          <w:sz w:val="20"/>
        </w:rPr>
        <w:t xml:space="preserve">в отношении численности работников субъекта малого и среднего предпринимательства в каждом из двух календарных лет, предшествующих году подачи заявки, не учитываются внешние совместители, а также не учитываются работники, замещающие рабочие места, созданные в году, предшествующем году подачи заявки;</w:t>
      </w:r>
    </w:p>
    <w:p>
      <w:pPr>
        <w:pStyle w:val="0"/>
        <w:spacing w:before="200" w:lineRule="auto"/>
        <w:ind w:firstLine="540"/>
        <w:jc w:val="both"/>
      </w:pPr>
      <w:r>
        <w:rPr>
          <w:sz w:val="20"/>
        </w:rPr>
        <w:t xml:space="preserve">в отношении субъекта малого и среднего предпринимательства, не имеющего работников и не являющегося работодателем, численность работников принимается равной 1.</w:t>
      </w:r>
    </w:p>
    <w:p>
      <w:pPr>
        <w:pStyle w:val="0"/>
        <w:jc w:val="both"/>
      </w:pPr>
      <w:r>
        <w:rPr>
          <w:sz w:val="20"/>
        </w:rPr>
        <w:t xml:space="preserve">(пп. 3 в ред. </w:t>
      </w:r>
      <w:hyperlink w:history="0" r:id="rId13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08" w:name="P408"/>
    <w:bookmarkEnd w:id="408"/>
    <w:p>
      <w:pPr>
        <w:pStyle w:val="0"/>
        <w:spacing w:before="200" w:lineRule="auto"/>
        <w:ind w:firstLine="540"/>
        <w:jc w:val="both"/>
      </w:pPr>
      <w:r>
        <w:rPr>
          <w:sz w:val="20"/>
        </w:rPr>
        <w:t xml:space="preserve">38. Условиями предоставления субсидии являются принимаемые получателем субсидии следующие обязательства:</w:t>
      </w:r>
    </w:p>
    <w:p>
      <w:pPr>
        <w:pStyle w:val="0"/>
        <w:spacing w:before="200" w:lineRule="auto"/>
        <w:ind w:firstLine="540"/>
        <w:jc w:val="both"/>
      </w:pPr>
      <w:r>
        <w:rPr>
          <w:sz w:val="20"/>
        </w:rPr>
        <w:t xml:space="preserve">1) об осуществлении (непрекращении) деятельности в течение 2 лет после даты получения субсидии. Единица измерения: слово "да".</w:t>
      </w:r>
    </w:p>
    <w:bookmarkStart w:id="410" w:name="P410"/>
    <w:bookmarkEnd w:id="410"/>
    <w:p>
      <w:pPr>
        <w:pStyle w:val="0"/>
        <w:spacing w:before="200" w:lineRule="auto"/>
        <w:ind w:firstLine="540"/>
        <w:jc w:val="both"/>
      </w:pPr>
      <w:r>
        <w:rPr>
          <w:sz w:val="20"/>
        </w:rPr>
        <w:t xml:space="preserve">Датой получения субсидии считается дата, следующая за третьим рабочим днем после дня списания средств со счета главного распорядителя в соответствии с </w:t>
      </w:r>
      <w:hyperlink w:history="0" w:anchor="P435" w:tooltip="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пунктом 44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w:r>
          <w:rPr>
            <w:sz w:val="20"/>
            <w:color w:val="0000ff"/>
          </w:rPr>
          <w:t xml:space="preserve">пунктом 46</w:t>
        </w:r>
      </w:hyperlink>
      <w:r>
        <w:rPr>
          <w:sz w:val="20"/>
        </w:rPr>
        <w:t xml:space="preserve"> настоящего Положения.</w:t>
      </w:r>
    </w:p>
    <w:p>
      <w:pPr>
        <w:pStyle w:val="0"/>
        <w:spacing w:before="200" w:lineRule="auto"/>
        <w:ind w:firstLine="540"/>
        <w:jc w:val="both"/>
      </w:pPr>
      <w:r>
        <w:rPr>
          <w:sz w:val="20"/>
        </w:rPr>
        <w:t xml:space="preserve">Осуществление (непрекращение) деятельности означает наличие сведений о получателе субсидии в Едином реестре субъектов малого и среднего предпринимательства;</w:t>
      </w:r>
    </w:p>
    <w:bookmarkStart w:id="412" w:name="P412"/>
    <w:bookmarkEnd w:id="412"/>
    <w:p>
      <w:pPr>
        <w:pStyle w:val="0"/>
        <w:spacing w:before="200" w:lineRule="auto"/>
        <w:ind w:firstLine="540"/>
        <w:jc w:val="both"/>
      </w:pPr>
      <w:r>
        <w:rPr>
          <w:sz w:val="20"/>
        </w:rPr>
        <w:t xml:space="preserve">2) о сохранении объема производства продукции (товаров, работ, услуг) в году, следующем за годом получения субсидии, на уровне не ниже чем в году, предшествующем году получения субсидии. Единица измерения: тыс. рублей.</w:t>
      </w:r>
    </w:p>
    <w:p>
      <w:pPr>
        <w:pStyle w:val="0"/>
        <w:spacing w:before="200" w:lineRule="auto"/>
        <w:ind w:firstLine="540"/>
        <w:jc w:val="both"/>
      </w:pPr>
      <w:r>
        <w:rPr>
          <w:sz w:val="20"/>
        </w:rPr>
        <w:t xml:space="preserve">Условие предоставления субсидии, установленное </w:t>
      </w:r>
      <w:hyperlink w:history="0" w:anchor="P412" w:tooltip="2) о сохранении объема производства продукции (товаров, работ, услуг) в году, следующем за годом получения субсидии, на уровне не ниже чем в году, предшествующем году получения субсидии. Единица измерения: тыс. рублей.">
        <w:r>
          <w:rPr>
            <w:sz w:val="20"/>
            <w:color w:val="0000ff"/>
          </w:rPr>
          <w:t xml:space="preserve">подпунктом 2</w:t>
        </w:r>
      </w:hyperlink>
      <w:r>
        <w:rPr>
          <w:sz w:val="20"/>
        </w:rPr>
        <w:t xml:space="preserve"> настоящего пункта, фактически достигнутое по состоянию на 1 января года подачи заявки, определяется участником отбора (получателем субсидии) в заявлении и включается в соглашение в случае ее получения, для участников отбора (получателей субсидии), зарегистрированных в течение года до даты приема заявки, установленной в объявлении о проведении конкурса, соответствует значениям, достигнутым по состоянию на 1-е число месяца подачи заявки, и включается в соглашение в случае ее получения.</w:t>
      </w:r>
    </w:p>
    <w:p>
      <w:pPr>
        <w:pStyle w:val="0"/>
        <w:jc w:val="both"/>
      </w:pPr>
      <w:r>
        <w:rPr>
          <w:sz w:val="20"/>
        </w:rPr>
        <w:t xml:space="preserve">(п. 38 в ред. </w:t>
      </w:r>
      <w:hyperlink w:history="0" r:id="rId13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15" w:name="P415"/>
    <w:bookmarkEnd w:id="415"/>
    <w:p>
      <w:pPr>
        <w:pStyle w:val="0"/>
        <w:spacing w:before="200" w:lineRule="auto"/>
        <w:ind w:firstLine="540"/>
        <w:jc w:val="both"/>
      </w:pPr>
      <w:r>
        <w:rPr>
          <w:sz w:val="20"/>
        </w:rPr>
        <w:t xml:space="preserve">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При реорганизации получателя субсидии, являющегося юридическим лицом, в форме разделения, выделения (за исключением случая, указанного в </w:t>
      </w:r>
      <w:hyperlink w:history="0" w:anchor="P418" w:tooltip="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т 14.07.2022 N 292-ФЗ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
        <w:r>
          <w:rPr>
            <w:sz w:val="20"/>
            <w:color w:val="0000ff"/>
          </w:rPr>
          <w:t xml:space="preserve">абзаце четвертом</w:t>
        </w:r>
      </w:hyperlink>
      <w:r>
        <w:rPr>
          <w:sz w:val="20"/>
        </w:rPr>
        <w:t xml:space="preserve">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132"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возврате суммы субсидии, установленной соглашением, в бюджет города Красноярска.</w:t>
      </w:r>
    </w:p>
    <w:p>
      <w:pPr>
        <w:pStyle w:val="0"/>
        <w:spacing w:before="200" w:lineRule="auto"/>
        <w:ind w:firstLine="540"/>
        <w:jc w:val="both"/>
      </w:pPr>
      <w:r>
        <w:rPr>
          <w:sz w:val="20"/>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133"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передающего свои права другому гражданину в соответствии со </w:t>
      </w:r>
      <w:hyperlink w:history="0" r:id="rId134" w:tooltip="Федеральный закон от 11.06.2003 N 74-ФЗ (ред. от 31.07.2025) &quot;О крестьянском (фермерском) хозяйстве&quot; {КонсультантПлюс}">
        <w:r>
          <w:rPr>
            <w:sz w:val="20"/>
            <w:color w:val="0000ff"/>
          </w:rPr>
          <w:t xml:space="preserve">статьей 18</w:t>
        </w:r>
      </w:hyperlink>
      <w:r>
        <w:rPr>
          <w:sz w:val="20"/>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bookmarkStart w:id="418" w:name="P418"/>
    <w:bookmarkEnd w:id="418"/>
    <w:p>
      <w:pPr>
        <w:pStyle w:val="0"/>
        <w:spacing w:before="200" w:lineRule="auto"/>
        <w:ind w:firstLine="540"/>
        <w:jc w:val="both"/>
      </w:pPr>
      <w:r>
        <w:rPr>
          <w:sz w:val="20"/>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w:history="0" r:id="rId135"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quot; {КонсультантПлюс}">
        <w:r>
          <w:rPr>
            <w:sz w:val="20"/>
            <w:color w:val="0000ff"/>
          </w:rPr>
          <w:t xml:space="preserve">статьей 8</w:t>
        </w:r>
      </w:hyperlink>
      <w:r>
        <w:rPr>
          <w:sz w:val="20"/>
        </w:rPr>
        <w:t xml:space="preserve"> Федерального закона от 14.07.2022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0"/>
        <w:spacing w:before="200" w:lineRule="auto"/>
        <w:ind w:firstLine="540"/>
        <w:jc w:val="both"/>
      </w:pPr>
      <w:r>
        <w:rPr>
          <w:sz w:val="20"/>
        </w:rPr>
        <w:t xml:space="preserve">40. Типовая форма соглашения, дополнительного соглашения к соглашению, в том числе дополнительного соглашения о расторжении соглашения, устанавливается департаментом финансов администрации города.</w:t>
      </w:r>
    </w:p>
    <w:p>
      <w:pPr>
        <w:pStyle w:val="0"/>
        <w:spacing w:before="200" w:lineRule="auto"/>
        <w:ind w:firstLine="540"/>
        <w:jc w:val="both"/>
      </w:pPr>
      <w:r>
        <w:rPr>
          <w:sz w:val="20"/>
        </w:rPr>
        <w:t xml:space="preserve">41.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получателю субсидии в размере, определенном соглашением.</w:t>
      </w:r>
    </w:p>
    <w:bookmarkStart w:id="421" w:name="P421"/>
    <w:bookmarkEnd w:id="421"/>
    <w:p>
      <w:pPr>
        <w:pStyle w:val="0"/>
        <w:spacing w:before="200" w:lineRule="auto"/>
        <w:ind w:firstLine="540"/>
        <w:jc w:val="both"/>
      </w:pPr>
      <w:r>
        <w:rPr>
          <w:sz w:val="20"/>
        </w:rPr>
        <w:t xml:space="preserve">42. Уполномоченный орган размещает соглашение в ГИИС "Электронный бюджет", получатель субсидии автоматически получает уведомление о его размещении в ГИИС "Электронный бюджет" в течение 20 рабочих дней, следующих за днем вступления в силу правового акта о предоставлении субсидии, указанного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w:t>
      </w:r>
    </w:p>
    <w:p>
      <w:pPr>
        <w:pStyle w:val="0"/>
        <w:spacing w:before="200" w:lineRule="auto"/>
        <w:ind w:firstLine="540"/>
        <w:jc w:val="both"/>
      </w:pPr>
      <w:r>
        <w:rPr>
          <w:sz w:val="20"/>
        </w:rPr>
        <w:t xml:space="preserve">Обязательным условием заключения соглашения является соответствие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Проверка соответствия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при заключении соглашения проводится уполномоченным органом в порядке, определенном </w:t>
      </w:r>
      <w:hyperlink w:history="0" w:anchor="P328" w:tooltip="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пунктом 12 настоящего Положения, в соответствии с абзацем первым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
        <w:r>
          <w:rPr>
            <w:sz w:val="20"/>
            <w:color w:val="0000ff"/>
          </w:rPr>
          <w:t xml:space="preserve">абзацами третьим</w:t>
        </w:r>
      </w:hyperlink>
      <w:r>
        <w:rPr>
          <w:sz w:val="20"/>
        </w:rPr>
        <w:t xml:space="preserve"> - </w:t>
      </w:r>
      <w:hyperlink w:history="0" w:anchor="P338" w:tooltip="10) сведений из Единого реестра субъектов малого и среднего предпринимательства и (или) из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10 пункта 12 настоящего Положения.">
        <w:r>
          <w:rPr>
            <w:sz w:val="20"/>
            <w:color w:val="0000ff"/>
          </w:rPr>
          <w:t xml:space="preserve">тринадцатым пункта 26</w:t>
        </w:r>
      </w:hyperlink>
      <w:r>
        <w:rPr>
          <w:sz w:val="20"/>
        </w:rPr>
        <w:t xml:space="preserve"> настоящего Положения, с учетом следующего:</w:t>
      </w:r>
    </w:p>
    <w:p>
      <w:pPr>
        <w:pStyle w:val="0"/>
        <w:spacing w:before="200" w:lineRule="auto"/>
        <w:ind w:firstLine="540"/>
        <w:jc w:val="both"/>
      </w:pPr>
      <w:r>
        <w:rPr>
          <w:sz w:val="20"/>
        </w:rPr>
        <w:t xml:space="preserve">проверка осуществляется по состоянию на дату подписания соглашения получателем субсидии;</w:t>
      </w:r>
    </w:p>
    <w:p>
      <w:pPr>
        <w:pStyle w:val="0"/>
        <w:spacing w:before="200" w:lineRule="auto"/>
        <w:ind w:firstLine="540"/>
        <w:jc w:val="both"/>
      </w:pPr>
      <w:r>
        <w:rPr>
          <w:sz w:val="20"/>
        </w:rPr>
        <w:t xml:space="preserve">соглашение подписывается главным распорядителем в течение 5 рабочих дней, следующих после даты проведения проверки, при условии соответствия победителя конкурса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соглашение вступает в действие в день его подписания обеими сторонами;</w:t>
      </w:r>
    </w:p>
    <w:p>
      <w:pPr>
        <w:pStyle w:val="0"/>
        <w:spacing w:before="200" w:lineRule="auto"/>
        <w:ind w:firstLine="540"/>
        <w:jc w:val="both"/>
      </w:pPr>
      <w:r>
        <w:rPr>
          <w:sz w:val="20"/>
        </w:rPr>
        <w:t xml:space="preserve">уполномоченный орган в течение 3 рабочих дней после срока, установленного абзацем пятым настоящего пункта, уведомляет в ГИИС "Электронный бюджет" победителя конкурса (получателя субсидии):</w:t>
      </w:r>
    </w:p>
    <w:p>
      <w:pPr>
        <w:pStyle w:val="0"/>
        <w:spacing w:before="200" w:lineRule="auto"/>
        <w:ind w:firstLine="540"/>
        <w:jc w:val="both"/>
      </w:pPr>
      <w:r>
        <w:rPr>
          <w:sz w:val="20"/>
        </w:rPr>
        <w:t xml:space="preserve">о вступлении в силу соглашения, подписанного обеими сторонами;</w:t>
      </w:r>
    </w:p>
    <w:p>
      <w:pPr>
        <w:pStyle w:val="0"/>
        <w:spacing w:before="200" w:lineRule="auto"/>
        <w:ind w:firstLine="540"/>
        <w:jc w:val="both"/>
      </w:pPr>
      <w:r>
        <w:rPr>
          <w:sz w:val="20"/>
        </w:rPr>
        <w:t xml:space="preserve">об отказе в предоставлении субсидии, с указанием причины отказа, установленной </w:t>
      </w:r>
      <w:hyperlink w:history="0" w:anchor="P382" w:tooltip="36. Основаниями для отказа получателю субсидии в предоставлении субсидии при проведении конкурса являются:">
        <w:r>
          <w:rPr>
            <w:sz w:val="20"/>
            <w:color w:val="0000ff"/>
          </w:rPr>
          <w:t xml:space="preserve">пунктом 36</w:t>
        </w:r>
      </w:hyperlink>
      <w:r>
        <w:rPr>
          <w:sz w:val="20"/>
        </w:rPr>
        <w:t xml:space="preserve"> настоящего Положения.</w:t>
      </w:r>
    </w:p>
    <w:p>
      <w:pPr>
        <w:pStyle w:val="0"/>
        <w:spacing w:before="200" w:lineRule="auto"/>
        <w:ind w:firstLine="540"/>
        <w:jc w:val="both"/>
      </w:pPr>
      <w:r>
        <w:rPr>
          <w:sz w:val="20"/>
        </w:rPr>
        <w:t xml:space="preserve">В случае отказа в предоставлении субсидии в результате проверки в правовой акт администрации города, указанный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p>
      <w:pPr>
        <w:pStyle w:val="0"/>
        <w:jc w:val="both"/>
      </w:pPr>
      <w:r>
        <w:rPr>
          <w:sz w:val="20"/>
        </w:rPr>
        <w:t xml:space="preserve">(п. 42 в ред. </w:t>
      </w:r>
      <w:hyperlink w:history="0" r:id="rId13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32" w:name="P432"/>
    <w:bookmarkEnd w:id="432"/>
    <w:p>
      <w:pPr>
        <w:pStyle w:val="0"/>
        <w:spacing w:before="200" w:lineRule="auto"/>
        <w:ind w:firstLine="540"/>
        <w:jc w:val="both"/>
      </w:pPr>
      <w:r>
        <w:rPr>
          <w:sz w:val="20"/>
        </w:rPr>
        <w:t xml:space="preserve">43. В случае если соглашение не заключено в сроки, установленные </w:t>
      </w:r>
      <w:hyperlink w:history="0" w:anchor="P355"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руководителя получателя субсидии или уполномоченного им лица в случае принятия решения о соответствии получателя субсидии, заявки получателя субсидии требованиям, целям и условиям предоставления субсидии, установленным настоящим Положением.">
        <w:r>
          <w:rPr>
            <w:sz w:val="20"/>
            <w:color w:val="0000ff"/>
          </w:rPr>
          <w:t xml:space="preserve">подпунктом 2 пункта 30</w:t>
        </w:r>
      </w:hyperlink>
      <w:r>
        <w:rPr>
          <w:sz w:val="20"/>
        </w:rPr>
        <w:t xml:space="preserve">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bookmarkStart w:id="433" w:name="P433"/>
    <w:bookmarkEnd w:id="433"/>
    <w:p>
      <w:pPr>
        <w:pStyle w:val="0"/>
        <w:spacing w:before="200" w:lineRule="auto"/>
        <w:ind w:firstLine="540"/>
        <w:jc w:val="both"/>
      </w:pPr>
      <w:r>
        <w:rPr>
          <w:sz w:val="20"/>
        </w:rPr>
        <w:t xml:space="preserve">44. В целях перечисления главным распорядителем денежных средств по соглашению в порядке, установленном </w:t>
      </w:r>
      <w:hyperlink w:history="0" w:anchor="P434" w:tooltip="45. Уполномоченный орган не позднее двух рабочих дней, следующих за днем регистрации соглашения, установленного пунктом 44 настоящего Положения, направляет главному распорядителю письмо о субсидировании с соглашением.">
        <w:r>
          <w:rPr>
            <w:sz w:val="20"/>
            <w:color w:val="0000ff"/>
          </w:rPr>
          <w:t xml:space="preserve">пунктами 45</w:t>
        </w:r>
      </w:hyperlink>
      <w:r>
        <w:rPr>
          <w:sz w:val="20"/>
        </w:rPr>
        <w:t xml:space="preserve"> - </w:t>
      </w:r>
      <w:hyperlink w:history="0" w:anchor="P438" w:tooltip="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
        <w:r>
          <w:rPr>
            <w:sz w:val="20"/>
            <w:color w:val="0000ff"/>
          </w:rPr>
          <w:t xml:space="preserve">47</w:t>
        </w:r>
      </w:hyperlink>
      <w:r>
        <w:rPr>
          <w:sz w:val="20"/>
        </w:rPr>
        <w:t xml:space="preserve">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w:t>
      </w:r>
    </w:p>
    <w:bookmarkStart w:id="434" w:name="P434"/>
    <w:bookmarkEnd w:id="434"/>
    <w:p>
      <w:pPr>
        <w:pStyle w:val="0"/>
        <w:spacing w:before="200" w:lineRule="auto"/>
        <w:ind w:firstLine="540"/>
        <w:jc w:val="both"/>
      </w:pPr>
      <w:r>
        <w:rPr>
          <w:sz w:val="20"/>
        </w:rPr>
        <w:t xml:space="preserve">45. Уполномоченный орган не позднее двух рабочих дней, следующих за днем регистрации соглашения, установленного </w:t>
      </w:r>
      <w:hyperlink w:history="0" w:anchor="P43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направляет главному распорядителю письмо о субсидировании с соглашением.</w:t>
      </w:r>
    </w:p>
    <w:bookmarkStart w:id="435" w:name="P435"/>
    <w:bookmarkEnd w:id="435"/>
    <w:p>
      <w:pPr>
        <w:pStyle w:val="0"/>
        <w:spacing w:before="200" w:lineRule="auto"/>
        <w:ind w:firstLine="540"/>
        <w:jc w:val="both"/>
      </w:pPr>
      <w:r>
        <w:rPr>
          <w:sz w:val="20"/>
        </w:rPr>
        <w:t xml:space="preserve">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w:t>
      </w:r>
      <w:hyperlink w:history="0" w:anchor="P43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pPr>
        <w:pStyle w:val="0"/>
        <w:jc w:val="both"/>
      </w:pPr>
      <w:r>
        <w:rPr>
          <w:sz w:val="20"/>
        </w:rPr>
        <w:t xml:space="preserve">(в ред. </w:t>
      </w:r>
      <w:hyperlink w:history="0" r:id="rId13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Субсидия перечисляется получателям субсидии единоразовым платежом, не подлежит казначейскому сопровождению.</w:t>
      </w:r>
    </w:p>
    <w:bookmarkStart w:id="438" w:name="P438"/>
    <w:bookmarkEnd w:id="438"/>
    <w:p>
      <w:pPr>
        <w:pStyle w:val="0"/>
        <w:spacing w:before="200" w:lineRule="auto"/>
        <w:ind w:firstLine="540"/>
        <w:jc w:val="both"/>
      </w:pPr>
      <w:r>
        <w:rPr>
          <w:sz w:val="20"/>
        </w:rPr>
        <w:t xml:space="preserve">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w:t>
      </w:r>
    </w:p>
    <w:p>
      <w:pPr>
        <w:pStyle w:val="0"/>
        <w:spacing w:before="200" w:lineRule="auto"/>
        <w:ind w:firstLine="540"/>
        <w:jc w:val="both"/>
      </w:pPr>
      <w:r>
        <w:rPr>
          <w:sz w:val="20"/>
        </w:rPr>
        <w:t xml:space="preserve">48. Порядок и сроки возврата субсидии в бюджет города Красноярска в случае нарушения получателями субсидии условий их предоставления установлены в </w:t>
      </w:r>
      <w:hyperlink w:history="0" w:anchor="P484" w:tooltip="58. Уполномоченный орган в течение 45 рабочих дней с даты выявления случаев, указанных в пункте 56 настоящего Положения, готовит решение о возврате в бюджет города полученной субсидии в размере, установленном пунктом 57 настоящего Положения.">
        <w:r>
          <w:rPr>
            <w:sz w:val="20"/>
            <w:color w:val="0000ff"/>
          </w:rPr>
          <w:t xml:space="preserve">пунктах 58</w:t>
        </w:r>
      </w:hyperlink>
      <w:r>
        <w:rPr>
          <w:sz w:val="20"/>
        </w:rPr>
        <w:t xml:space="preserve"> - </w:t>
      </w:r>
      <w:hyperlink w:history="0" w:anchor="P491" w:tooltip="61. Соглашение должно содержать положения о неприменении требований, установленных пунктами 56 - 60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
        <w:r>
          <w:rPr>
            <w:sz w:val="20"/>
            <w:color w:val="0000ff"/>
          </w:rPr>
          <w:t xml:space="preserve">61</w:t>
        </w:r>
      </w:hyperlink>
      <w:r>
        <w:rPr>
          <w:sz w:val="20"/>
        </w:rPr>
        <w:t xml:space="preserve"> настоящего Положения.</w:t>
      </w:r>
    </w:p>
    <w:p>
      <w:pPr>
        <w:pStyle w:val="0"/>
        <w:spacing w:before="200" w:lineRule="auto"/>
        <w:ind w:firstLine="540"/>
        <w:jc w:val="both"/>
      </w:pPr>
      <w:r>
        <w:rPr>
          <w:sz w:val="20"/>
        </w:rPr>
        <w:t xml:space="preserve">49. В целях ведения Единого реестра субъектов малого и среднего предпринимательства - получателей поддержки уполномоченный орган представляет в территориальный орган Федеральной налоговой службы по Красноярскому краю сведения о получателях субсидии в соответствии с </w:t>
      </w:r>
      <w:hyperlink w:history="0" r:id="rId138"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частью 5 статьи 8</w:t>
        </w:r>
      </w:hyperlink>
      <w:r>
        <w:rPr>
          <w:sz w:val="20"/>
        </w:rPr>
        <w:t xml:space="preserve"> Федерального закона N 209-ФЗ до 5-го числа месяца, следующего за месяцем принятия решения о предоставлении субсидии, в соответствии с </w:t>
      </w:r>
      <w:hyperlink w:history="0" w:anchor="P43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IV. ТРЕБОВАНИЯ К ОТЧЕТНОСТИ</w:t>
      </w:r>
    </w:p>
    <w:p>
      <w:pPr>
        <w:pStyle w:val="0"/>
        <w:ind w:firstLine="540"/>
        <w:jc w:val="both"/>
      </w:pPr>
      <w:r>
        <w:rPr>
          <w:sz w:val="20"/>
        </w:rPr>
      </w:r>
    </w:p>
    <w:bookmarkStart w:id="444" w:name="P444"/>
    <w:bookmarkEnd w:id="444"/>
    <w:p>
      <w:pPr>
        <w:pStyle w:val="0"/>
        <w:ind w:firstLine="540"/>
        <w:jc w:val="both"/>
      </w:pPr>
      <w:r>
        <w:rPr>
          <w:sz w:val="20"/>
        </w:rPr>
        <w:t xml:space="preserve">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w:t>
      </w:r>
    </w:p>
    <w:p>
      <w:pPr>
        <w:pStyle w:val="0"/>
        <w:spacing w:before="200" w:lineRule="auto"/>
        <w:ind w:firstLine="540"/>
        <w:jc w:val="both"/>
      </w:pPr>
      <w:r>
        <w:rPr>
          <w:sz w:val="20"/>
        </w:rPr>
        <w:t xml:space="preserve">1) отчет о реализации плана мероприятий по достижению результатов предоставления субсидии, с указанием значений результатов предоставления субсидии и контрольных точек по форме, установленной соглашением.</w:t>
      </w:r>
    </w:p>
    <w:p>
      <w:pPr>
        <w:pStyle w:val="0"/>
        <w:spacing w:before="200" w:lineRule="auto"/>
        <w:ind w:firstLine="540"/>
        <w:jc w:val="both"/>
      </w:pPr>
      <w:r>
        <w:rPr>
          <w:sz w:val="20"/>
        </w:rPr>
        <w:t xml:space="preserve">Отчет предоставляется в уполномоченный орган в электронной форме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Срок предоставления отчета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w:t>
      </w:r>
    </w:p>
    <w:p>
      <w:pPr>
        <w:pStyle w:val="0"/>
        <w:spacing w:before="200" w:lineRule="auto"/>
        <w:ind w:firstLine="540"/>
        <w:jc w:val="both"/>
      </w:pPr>
      <w:r>
        <w:rPr>
          <w:sz w:val="20"/>
        </w:rPr>
        <w:t xml:space="preserve">2) в сроки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администрации города Красноярска в течение 1 рабочего дня регистрирует представленную получателем субсидии отчетность, которая включает:</w:t>
      </w:r>
    </w:p>
    <w:p>
      <w:pPr>
        <w:pStyle w:val="0"/>
        <w:spacing w:before="200" w:lineRule="auto"/>
        <w:ind w:firstLine="540"/>
        <w:jc w:val="both"/>
      </w:pPr>
      <w:r>
        <w:rPr>
          <w:sz w:val="20"/>
        </w:rPr>
        <w:t xml:space="preserve">отчет о достижении значений результатов предоставления субсидии, представляемый ежеквартально в течение года, под бюджетные ассигнования которого заключено соглашение по форме, определенной типовой формой соглашения, установленной департаментом финансов администрации города Красноярска, с приложением подтверждающих документов:</w:t>
      </w:r>
    </w:p>
    <w:p>
      <w:pPr>
        <w:pStyle w:val="0"/>
        <w:spacing w:before="200" w:lineRule="auto"/>
        <w:ind w:firstLine="540"/>
        <w:jc w:val="both"/>
      </w:pPr>
      <w:r>
        <w:rPr>
          <w:sz w:val="20"/>
        </w:rPr>
        <w:t xml:space="preserve">копий отчетов (промежуточных отчетов) о финансовых результатах юридического лица за отчетный период с приложением пояснений в произвольной форме по источникам доходов;</w:t>
      </w:r>
    </w:p>
    <w:p>
      <w:pPr>
        <w:pStyle w:val="0"/>
        <w:spacing w:before="200" w:lineRule="auto"/>
        <w:ind w:firstLine="540"/>
        <w:jc w:val="both"/>
      </w:pPr>
      <w:r>
        <w:rPr>
          <w:sz w:val="20"/>
        </w:rPr>
        <w:t xml:space="preserve">копии налоговой декларации по налогу на доходы физических лиц по форме 3-НДФЛ, утвержденной приказом Федеральной налоговой службы от 20.10.2025 N ЕД-7-11/913@, и (или) копии налоговой декларации по налогу, уплачиваемому в связи с применением упрощенной системы налогообложения, утвержденной приказом Федеральной налоговой службы от 26.11.2025 N ЕД-7-3/1017@, и (или) копии иной отчетности (промежуточной отчетности) индивидуального предпринимателя (книг доходов и расходов и (или) книг учета доходов, и (или) справок о состоянии расчетов (доходах) по налогу на профессиональный доход) за отчетный период с приложением пояснений в произвольной форме по источникам доходов;</w:t>
      </w:r>
    </w:p>
    <w:p>
      <w:pPr>
        <w:pStyle w:val="0"/>
        <w:spacing w:before="200" w:lineRule="auto"/>
        <w:ind w:firstLine="540"/>
        <w:jc w:val="both"/>
      </w:pPr>
      <w:r>
        <w:rPr>
          <w:sz w:val="20"/>
        </w:rPr>
        <w:t xml:space="preserve">справку (сведения) о списочной численности работников (без внешних совместителей, без учета работников, замещающих рабочие места, созданные в году получения субсидии), оформленную в произвольной форме (для получателя субсидии, имеющего работников и являющегося работодателем);</w:t>
      </w:r>
    </w:p>
    <w:p>
      <w:pPr>
        <w:pStyle w:val="0"/>
        <w:spacing w:before="200" w:lineRule="auto"/>
        <w:ind w:firstLine="540"/>
        <w:jc w:val="both"/>
      </w:pPr>
      <w:r>
        <w:rPr>
          <w:sz w:val="20"/>
        </w:rPr>
        <w:t xml:space="preserve">копии действующего в отчетном периоде штатного расписания, включая изменения штатной численности работников, или справку (сведения) в произвольной форме о количестве сохраненных рабочих мест (включая индивидуальных предпринимателей);</w:t>
      </w:r>
    </w:p>
    <w:p>
      <w:pPr>
        <w:pStyle w:val="0"/>
        <w:spacing w:before="200" w:lineRule="auto"/>
        <w:ind w:firstLine="540"/>
        <w:jc w:val="both"/>
      </w:pPr>
      <w:r>
        <w:rPr>
          <w:sz w:val="20"/>
        </w:rPr>
        <w:t xml:space="preserve">справку (сведения) за отчетный период об объеме привлеченных инвестиций получателем субсидии за счет собственных средств от осуществления деятельности и (или) за счет привлеченных кредитов (займов), предоставляемых на условиях платности и возвратности, в произвольной форме;</w:t>
      </w:r>
    </w:p>
    <w:p>
      <w:pPr>
        <w:pStyle w:val="0"/>
        <w:spacing w:before="200" w:lineRule="auto"/>
        <w:ind w:firstLine="540"/>
        <w:jc w:val="both"/>
      </w:pPr>
      <w:r>
        <w:rPr>
          <w:sz w:val="20"/>
        </w:rPr>
        <w:t xml:space="preserve">отчет о выполнении условий предоставления субсидии, представляемый ежеквартально в течение 24 месяцев после даты получения субсидии, установленной </w:t>
      </w:r>
      <w:hyperlink w:history="0" w:anchor="P410"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
        <w:r>
          <w:rPr>
            <w:sz w:val="20"/>
            <w:color w:val="0000ff"/>
          </w:rPr>
          <w:t xml:space="preserve">абзацем вторым подпункта 1 пункта 38</w:t>
        </w:r>
      </w:hyperlink>
      <w:r>
        <w:rPr>
          <w:sz w:val="20"/>
        </w:rPr>
        <w:t xml:space="preserve"> настоящего Положения, по форме, установленной соглашением, с приложением подтверждающих документов:</w:t>
      </w:r>
    </w:p>
    <w:p>
      <w:pPr>
        <w:pStyle w:val="0"/>
        <w:spacing w:before="200" w:lineRule="auto"/>
        <w:ind w:firstLine="540"/>
        <w:jc w:val="both"/>
      </w:pPr>
      <w:r>
        <w:rPr>
          <w:sz w:val="20"/>
        </w:rPr>
        <w:t xml:space="preserve">выписку из ЕГРЮЛ/ЕГРИП, которую получатель субсидии вправе представить. В случае если получатель субсидии не представил выписку 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с использованием программного обеспечения и (или) посредством сети Интернет.</w:t>
      </w:r>
    </w:p>
    <w:p>
      <w:pPr>
        <w:pStyle w:val="0"/>
        <w:spacing w:before="200" w:lineRule="auto"/>
        <w:ind w:firstLine="540"/>
        <w:jc w:val="both"/>
      </w:pPr>
      <w:r>
        <w:rPr>
          <w:sz w:val="20"/>
        </w:rPr>
        <w:t xml:space="preserve">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указанных в настоящем пункте, должны быть подписаны получателем субсидии и заверены печатью (при наличии).</w:t>
      </w:r>
    </w:p>
    <w:p>
      <w:pPr>
        <w:pStyle w:val="0"/>
        <w:jc w:val="both"/>
      </w:pPr>
      <w:r>
        <w:rPr>
          <w:sz w:val="20"/>
        </w:rPr>
        <w:t xml:space="preserve">(п. 50 в ред. </w:t>
      </w:r>
      <w:hyperlink w:history="0" r:id="rId13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59" w:name="P459"/>
    <w:bookmarkEnd w:id="459"/>
    <w:p>
      <w:pPr>
        <w:pStyle w:val="0"/>
        <w:spacing w:before="200" w:lineRule="auto"/>
        <w:ind w:firstLine="540"/>
        <w:jc w:val="both"/>
      </w:pPr>
      <w:r>
        <w:rPr>
          <w:sz w:val="20"/>
        </w:rPr>
        <w:t xml:space="preserve">51. Главный распорядитель вправе устанавливать в соглашении сроки и формы представления получателем субсидии дополнительной отчетности.</w:t>
      </w:r>
    </w:p>
    <w:p>
      <w:pPr>
        <w:pStyle w:val="0"/>
        <w:spacing w:before="200" w:lineRule="auto"/>
        <w:ind w:firstLine="540"/>
        <w:jc w:val="both"/>
      </w:pPr>
      <w:r>
        <w:rPr>
          <w:sz w:val="20"/>
        </w:rPr>
        <w:t xml:space="preserve">52. Уполномоченный орган от имени главного распорядителя осуществляет документарную проверку комплектности, содержания представленной получателем субсидии отчетности (дополнительной отчетности) в соответствии с </w:t>
      </w:r>
      <w:hyperlink w:history="0" w:anchor="P444"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пунктами 50</w:t>
        </w:r>
      </w:hyperlink>
      <w:r>
        <w:rPr>
          <w:sz w:val="20"/>
        </w:rPr>
        <w:t xml:space="preserve">, </w:t>
      </w:r>
      <w:hyperlink w:history="0" w:anchor="P459" w:tooltip="51. Главный распорядитель вправе устанавливать в соглашении сроки и формы представления получателем субсидии дополнительной отчетности.">
        <w:r>
          <w:rPr>
            <w:sz w:val="20"/>
            <w:color w:val="0000ff"/>
          </w:rPr>
          <w:t xml:space="preserve">51</w:t>
        </w:r>
      </w:hyperlink>
      <w:r>
        <w:rPr>
          <w:sz w:val="20"/>
        </w:rPr>
        <w:t xml:space="preserve"> настоящего Положения (далее - отчетность) на предмет соблюдения получателем субсидии условий предоставления субсидии, в том числе в части достижения результата предоставления субсидии, а также обеспечивает сохранность представленной отчетности в течение срока, определенного номенклатурой дел уполномоченного органа.</w:t>
      </w:r>
    </w:p>
    <w:p>
      <w:pPr>
        <w:pStyle w:val="0"/>
        <w:spacing w:before="200" w:lineRule="auto"/>
        <w:ind w:firstLine="540"/>
        <w:jc w:val="both"/>
      </w:pPr>
      <w:r>
        <w:rPr>
          <w:sz w:val="20"/>
        </w:rPr>
        <w:t xml:space="preserve">Проверка и принятие уполномоченным органом представленной получателем субсидии отчетности осуществляется в порядке и в сроки, определенные правовым актом администрации города, указанным в </w:t>
      </w:r>
      <w:hyperlink w:history="0" w:anchor="P472"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w:t>
      </w:r>
    </w:p>
    <w:p>
      <w:pPr>
        <w:pStyle w:val="0"/>
        <w:spacing w:before="200" w:lineRule="auto"/>
        <w:ind w:firstLine="540"/>
        <w:jc w:val="both"/>
      </w:pPr>
      <w:r>
        <w:rPr>
          <w:sz w:val="20"/>
        </w:rPr>
        <w:t xml:space="preserve">Получатель субсидии несет ответственность за достоверность документов, представленных в составе отчетности, в соответствии с действующим законодательством Российской Федерации.</w:t>
      </w:r>
    </w:p>
    <w:p>
      <w:pPr>
        <w:pStyle w:val="0"/>
        <w:spacing w:before="200" w:lineRule="auto"/>
        <w:ind w:firstLine="540"/>
        <w:jc w:val="both"/>
      </w:pPr>
      <w:r>
        <w:rPr>
          <w:sz w:val="20"/>
        </w:rPr>
        <w:t xml:space="preserve">Получатель субсидии несет ответственность за достоверность сведений, указанных в представленной отчетности.</w:t>
      </w:r>
    </w:p>
    <w:p>
      <w:pPr>
        <w:pStyle w:val="0"/>
        <w:spacing w:before="200" w:lineRule="auto"/>
        <w:ind w:firstLine="540"/>
        <w:jc w:val="both"/>
      </w:pPr>
      <w:r>
        <w:rPr>
          <w:sz w:val="20"/>
        </w:rPr>
        <w:t xml:space="preserve">Отчетность, представленная получателем субсидии, в том числе зарегистрированная после окончания сроков представления отчетности, установленных </w:t>
      </w:r>
      <w:hyperlink w:history="0" w:anchor="P444"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пунктом 50</w:t>
        </w:r>
      </w:hyperlink>
      <w:r>
        <w:rPr>
          <w:sz w:val="20"/>
        </w:rPr>
        <w:t xml:space="preserve"> настоящего Положения и (или) соглашением, но не позднее сроков завершения периода проверки в порядке и в сроки, определенные правовым актом администрации города, указанным в </w:t>
      </w:r>
      <w:hyperlink w:history="0" w:anchor="P472"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получателю субсидии не возвращается.</w:t>
      </w:r>
    </w:p>
    <w:p>
      <w:pPr>
        <w:pStyle w:val="0"/>
        <w:spacing w:before="200" w:lineRule="auto"/>
        <w:ind w:firstLine="540"/>
        <w:jc w:val="both"/>
      </w:pPr>
      <w:r>
        <w:rPr>
          <w:sz w:val="20"/>
        </w:rPr>
        <w:t xml:space="preserve">В случае выявления в результате документарной проверки отчетности факта нарушения получателем субсидии условий и порядка предоставления субсидии, в том числе в части достижения результатов предоставления субсидии, получателю субсидии устанавливается мера ответственности о возврате в бюджет города Красноярска средств субсидии, полученных на основании соглашения, заключенного с получателем субсидии, в порядке и сроки, установленные </w:t>
      </w:r>
      <w:hyperlink w:history="0" w:anchor="P475"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487"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V. ТРЕБОВАНИЯ ОБ ОСУЩЕСТВЛЕНИИ КОНТРОЛЯ (МОНИТОРИНГА)</w:t>
      </w:r>
    </w:p>
    <w:p>
      <w:pPr>
        <w:pStyle w:val="2"/>
        <w:jc w:val="center"/>
      </w:pPr>
      <w:r>
        <w:rPr>
          <w:sz w:val="20"/>
        </w:rPr>
        <w:t xml:space="preserve">ЗА СОБЛЮДЕНИЕМ УСЛОВИЙ И ПОРЯДКА ПРЕДОСТАВЛЕНИЯ СУБСИДИИ</w:t>
      </w:r>
    </w:p>
    <w:p>
      <w:pPr>
        <w:pStyle w:val="2"/>
        <w:jc w:val="center"/>
      </w:pPr>
      <w:r>
        <w:rPr>
          <w:sz w:val="20"/>
        </w:rPr>
        <w:t xml:space="preserve">И ОТВЕТСТВЕННОСТЬ ЗА ИХ НАРУШЕНИЕ</w:t>
      </w:r>
    </w:p>
    <w:p>
      <w:pPr>
        <w:pStyle w:val="0"/>
        <w:ind w:firstLine="540"/>
        <w:jc w:val="both"/>
      </w:pPr>
      <w:r>
        <w:rPr>
          <w:sz w:val="20"/>
        </w:rPr>
      </w:r>
    </w:p>
    <w:p>
      <w:pPr>
        <w:pStyle w:val="0"/>
        <w:ind w:firstLine="540"/>
        <w:jc w:val="both"/>
      </w:pPr>
      <w:r>
        <w:rPr>
          <w:sz w:val="20"/>
        </w:rPr>
        <w:t xml:space="preserve">53. Контроль (мониторинг) за соблюдением условий и порядка предоставления субсидии осуществляют главный распорядитель и органы муниципального финансового контроля.</w:t>
      </w:r>
    </w:p>
    <w:bookmarkStart w:id="472" w:name="P472"/>
    <w:bookmarkEnd w:id="472"/>
    <w:p>
      <w:pPr>
        <w:pStyle w:val="0"/>
        <w:spacing w:before="200" w:lineRule="auto"/>
        <w:ind w:firstLine="540"/>
        <w:jc w:val="both"/>
      </w:pPr>
      <w:r>
        <w:rPr>
          <w:sz w:val="20"/>
        </w:rPr>
        <w:t xml:space="preserve">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w:t>
      </w:r>
      <w:hyperlink w:history="0" r:id="rId140" w:tooltip="Постановление администрации г. Красноярска от 17.02.2016 N 91 (ред. от 20.03.2026)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убсидий, в том числе грантов в форме субсидий, их получателями&quot; (вместе с &quot;Положением о порядке проведения проверки главным распорядителем бюджетных средств, предоставляющим субсидию,  {КонсультантПлюс}">
        <w:r>
          <w:rPr>
            <w:sz w:val="20"/>
            <w:color w:val="0000ff"/>
          </w:rPr>
          <w:t xml:space="preserve">Постановлением</w:t>
        </w:r>
      </w:hyperlink>
      <w:r>
        <w:rPr>
          <w:sz w:val="20"/>
        </w:rPr>
        <w:t xml:space="preserve"> администрации города от 17.02.2016 N 91 "О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субсидий, в том числе грантов в форме субсидий, их получателями".</w:t>
      </w:r>
    </w:p>
    <w:p>
      <w:pPr>
        <w:pStyle w:val="0"/>
        <w:spacing w:before="200" w:lineRule="auto"/>
        <w:ind w:firstLine="540"/>
        <w:jc w:val="both"/>
      </w:pPr>
      <w:r>
        <w:rPr>
          <w:sz w:val="20"/>
        </w:rPr>
        <w:t xml:space="preserve">Органы муниципального финансового контроля осуществляют проверки в соответствии со </w:t>
      </w:r>
      <w:hyperlink w:history="0" r:id="rId14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w:t>
      </w:r>
      <w:hyperlink w:history="0" r:id="rId14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55. Мониторинг достижения получателем субсидии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осуществляется уполномоченным органом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установленным Министерством финансов Российской Федерации и правовыми актами администрации города.</w:t>
      </w:r>
    </w:p>
    <w:bookmarkStart w:id="475" w:name="P475"/>
    <w:bookmarkEnd w:id="475"/>
    <w:p>
      <w:pPr>
        <w:pStyle w:val="0"/>
        <w:spacing w:before="200" w:lineRule="auto"/>
        <w:ind w:firstLine="540"/>
        <w:jc w:val="both"/>
      </w:pPr>
      <w:r>
        <w:rPr>
          <w:sz w:val="20"/>
        </w:rPr>
        <w:t xml:space="preserve">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w:t>
      </w:r>
      <w:hyperlink w:history="0" w:anchor="P385"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настоящего Положения, получателю субсидии устанавливается мера ответственности о возврате субсидии по основаниям и в размерах, определенным </w:t>
      </w:r>
      <w:hyperlink w:history="0" w:anchor="P476"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bookmarkStart w:id="476" w:name="P476"/>
    <w:bookmarkEnd w:id="476"/>
    <w:p>
      <w:pPr>
        <w:pStyle w:val="0"/>
        <w:spacing w:before="200" w:lineRule="auto"/>
        <w:ind w:firstLine="540"/>
        <w:jc w:val="both"/>
      </w:pPr>
      <w:r>
        <w:rPr>
          <w:sz w:val="20"/>
        </w:rPr>
        <w:t xml:space="preserve">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w:t>
      </w:r>
    </w:p>
    <w:p>
      <w:pPr>
        <w:pStyle w:val="0"/>
        <w:spacing w:before="200" w:lineRule="auto"/>
        <w:ind w:firstLine="540"/>
        <w:jc w:val="both"/>
      </w:pPr>
      <w:r>
        <w:rPr>
          <w:sz w:val="20"/>
        </w:rPr>
        <w:t xml:space="preserve">1) получателем субсидии представлены недостоверные сведения и документы - возврат субсидии в полном объеме, указанном в соглашении;</w:t>
      </w:r>
    </w:p>
    <w:p>
      <w:pPr>
        <w:pStyle w:val="0"/>
        <w:spacing w:before="200" w:lineRule="auto"/>
        <w:ind w:firstLine="540"/>
        <w:jc w:val="both"/>
      </w:pPr>
      <w:r>
        <w:rPr>
          <w:sz w:val="20"/>
        </w:rPr>
        <w:t xml:space="preserve">2) в текущем финансовом году в отношении получателя субсидии было принято решение об оказании аналогичной поддержки - возврат субсидии в полном объеме, указанном в соглашении;</w:t>
      </w:r>
    </w:p>
    <w:p>
      <w:pPr>
        <w:pStyle w:val="0"/>
        <w:spacing w:before="200" w:lineRule="auto"/>
        <w:ind w:firstLine="540"/>
        <w:jc w:val="both"/>
      </w:pPr>
      <w:r>
        <w:rPr>
          <w:sz w:val="20"/>
        </w:rPr>
        <w:t xml:space="preserve">3) получателем субсидии нарушены условия, установленные при предоставлении субсидии, выявленные в том числе по результатам проверок, проведенных главным распорядителем и (или) органом муниципального финансового контроля, - возврат субсидии в размере расходов, в отношении которых нарушены условия;</w:t>
      </w:r>
    </w:p>
    <w:p>
      <w:pPr>
        <w:pStyle w:val="0"/>
        <w:spacing w:before="200" w:lineRule="auto"/>
        <w:ind w:firstLine="540"/>
        <w:jc w:val="both"/>
      </w:pPr>
      <w:r>
        <w:rPr>
          <w:sz w:val="20"/>
        </w:rPr>
        <w:t xml:space="preserve">4) получателем субсидии в срок не позднее срока завершения периода проверки, проводимого в порядке, определенном правовым актом, указанным в </w:t>
      </w:r>
      <w:hyperlink w:history="0" w:anchor="P472"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не представлены документы, указанные в </w:t>
      </w:r>
      <w:hyperlink w:history="0" w:anchor="P444"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пункте 50</w:t>
        </w:r>
      </w:hyperlink>
      <w:r>
        <w:rPr>
          <w:sz w:val="20"/>
        </w:rPr>
        <w:t xml:space="preserve"> настоящего Положения, которые получатель субсидии должен представить самостоятельно, - возврат субсидии в размере расходов, в отношении которых не представлены документы;</w:t>
      </w:r>
    </w:p>
    <w:p>
      <w:pPr>
        <w:pStyle w:val="0"/>
        <w:spacing w:before="200" w:lineRule="auto"/>
        <w:ind w:firstLine="540"/>
        <w:jc w:val="both"/>
      </w:pPr>
      <w:r>
        <w:rPr>
          <w:sz w:val="20"/>
        </w:rPr>
        <w:t xml:space="preserve">5) получателем субсидии по состоянию на конец года, под бюджетные ассигнования которого заключено соглашение, не достигнуты значения результатов предоставления субсидии, указанных в </w:t>
      </w:r>
      <w:hyperlink w:history="0" w:anchor="P385"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настоящего Положения, - возврат субсидии в полном объеме, указанном в соглашении;</w:t>
      </w:r>
    </w:p>
    <w:p>
      <w:pPr>
        <w:pStyle w:val="0"/>
        <w:spacing w:before="200" w:lineRule="auto"/>
        <w:ind w:firstLine="540"/>
        <w:jc w:val="both"/>
      </w:pPr>
      <w:r>
        <w:rPr>
          <w:sz w:val="20"/>
        </w:rPr>
        <w:t xml:space="preserve">6) в случаях, указанных в </w:t>
      </w:r>
      <w:hyperlink w:history="0" w:anchor="P415" w:tooltip="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r>
          <w:rPr>
            <w:sz w:val="20"/>
            <w:color w:val="0000ff"/>
          </w:rPr>
          <w:t xml:space="preserve">пункте 39</w:t>
        </w:r>
      </w:hyperlink>
      <w:r>
        <w:rPr>
          <w:sz w:val="20"/>
        </w:rPr>
        <w:t xml:space="preserve"> настоящего Положения;</w:t>
      </w:r>
    </w:p>
    <w:p>
      <w:pPr>
        <w:pStyle w:val="0"/>
        <w:spacing w:before="200" w:lineRule="auto"/>
        <w:ind w:firstLine="540"/>
        <w:jc w:val="both"/>
      </w:pPr>
      <w:r>
        <w:rPr>
          <w:sz w:val="20"/>
        </w:rPr>
        <w:t xml:space="preserve">7) предельные размеры расчетов получателя субсидии наличными деньгами в Российской Федерации в рамках одного договора, заключенного им в целях исполнения обязательств по соглашению с юридическим лицом, с гражданином, осуществляющим предпринимательскую деятельность без образования юридического лица, с индивидуальным предпринимателем, превышают предельные размеры расчетов наличными деньгами в Российской Федерации, установленные Центральным банком Российской Федерации, - возврат субсидии в размере расходов, в отношении которых нарушены предельные размеры расчетов наличными деньгами.</w:t>
      </w:r>
    </w:p>
    <w:bookmarkStart w:id="484" w:name="P484"/>
    <w:bookmarkEnd w:id="484"/>
    <w:p>
      <w:pPr>
        <w:pStyle w:val="0"/>
        <w:spacing w:before="200" w:lineRule="auto"/>
        <w:ind w:firstLine="540"/>
        <w:jc w:val="both"/>
      </w:pPr>
      <w:r>
        <w:rPr>
          <w:sz w:val="20"/>
        </w:rPr>
        <w:t xml:space="preserve">58. Уполномоченный орган в течение 45 рабочих дней с даты выявления случаев, указанных в </w:t>
      </w:r>
      <w:hyperlink w:history="0" w:anchor="P475"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пункте 56</w:t>
        </w:r>
      </w:hyperlink>
      <w:r>
        <w:rPr>
          <w:sz w:val="20"/>
        </w:rPr>
        <w:t xml:space="preserve"> настоящего Положения, готовит решение о возврате в бюджет города полученной субсидии в размере, установленном </w:t>
      </w:r>
      <w:hyperlink w:history="0" w:anchor="P476"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p>
      <w:pPr>
        <w:pStyle w:val="0"/>
        <w:spacing w:before="200" w:lineRule="auto"/>
        <w:ind w:firstLine="540"/>
        <w:jc w:val="both"/>
      </w:pPr>
      <w:r>
        <w:rPr>
          <w:sz w:val="20"/>
        </w:rPr>
        <w:t xml:space="preserve">Решение о возврате субсидии оформляется правовым актом администрации города.</w:t>
      </w:r>
    </w:p>
    <w:bookmarkStart w:id="486" w:name="P486"/>
    <w:bookmarkEnd w:id="486"/>
    <w:p>
      <w:pPr>
        <w:pStyle w:val="0"/>
        <w:spacing w:before="200" w:lineRule="auto"/>
        <w:ind w:firstLine="540"/>
        <w:jc w:val="both"/>
      </w:pPr>
      <w:r>
        <w:rPr>
          <w:sz w:val="20"/>
        </w:rPr>
        <w:t xml:space="preserve">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w:t>
      </w:r>
    </w:p>
    <w:bookmarkStart w:id="487" w:name="P487"/>
    <w:bookmarkEnd w:id="487"/>
    <w:p>
      <w:pPr>
        <w:pStyle w:val="0"/>
        <w:spacing w:before="200" w:lineRule="auto"/>
        <w:ind w:firstLine="540"/>
        <w:jc w:val="both"/>
      </w:pPr>
      <w:r>
        <w:rPr>
          <w:sz w:val="20"/>
        </w:rPr>
        <w:t xml:space="preserve">60. Получатель субсидии в течение 20 рабочих дней, следующих за датой отправки письменного уведомления о возврате субсидии, указанной в </w:t>
      </w:r>
      <w:hyperlink w:history="0" w:anchor="P486" w:tooltip="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
        <w:r>
          <w:rPr>
            <w:sz w:val="20"/>
            <w:color w:val="0000ff"/>
          </w:rPr>
          <w:t xml:space="preserve">пункте 59</w:t>
        </w:r>
      </w:hyperlink>
      <w:r>
        <w:rPr>
          <w:sz w:val="20"/>
        </w:rPr>
        <w:t xml:space="preserve"> настоящего Положения, обязан произвести возврат полученной субсидии на лицевой счет главного распорядителя.</w:t>
      </w:r>
    </w:p>
    <w:p>
      <w:pPr>
        <w:pStyle w:val="0"/>
        <w:spacing w:before="200" w:lineRule="auto"/>
        <w:ind w:firstLine="540"/>
        <w:jc w:val="both"/>
      </w:pPr>
      <w:r>
        <w:rPr>
          <w:sz w:val="20"/>
        </w:rPr>
        <w:t xml:space="preserve">Главный распорядитель возвращает указанные средства в бюджет города в течение 3 рабочих дней с даты их зачисления на лицевой счет.</w:t>
      </w:r>
    </w:p>
    <w:p>
      <w:pPr>
        <w:pStyle w:val="0"/>
        <w:spacing w:before="200" w:lineRule="auto"/>
        <w:ind w:firstLine="540"/>
        <w:jc w:val="both"/>
      </w:pPr>
      <w:r>
        <w:rPr>
          <w:sz w:val="20"/>
        </w:rPr>
        <w:t xml:space="preserve">В случае если получатель субсидии не возвратил субсидию в установленный срок или возвратил ее не в полном объеме, главный распорядитель в течение 23 рабочих дней с даты истечения срока, установленного получателю для возврата субсидии, обращается в суд с заявлением о взыскании перечисленных средств субсидии в бюджет города в соответствии с законодательством Российской Федерации.</w:t>
      </w:r>
    </w:p>
    <w:p>
      <w:pPr>
        <w:pStyle w:val="0"/>
        <w:spacing w:before="200" w:lineRule="auto"/>
        <w:ind w:firstLine="540"/>
        <w:jc w:val="both"/>
      </w:pPr>
      <w:r>
        <w:rPr>
          <w:sz w:val="20"/>
        </w:rPr>
        <w:t xml:space="preserve">При отказе получателя субсидии от возврата суммы полученной субсидии в бюджет города взыскание производится в судебном порядке, установленном действующим законодательством Российской Федерации.</w:t>
      </w:r>
    </w:p>
    <w:bookmarkStart w:id="491" w:name="P491"/>
    <w:bookmarkEnd w:id="491"/>
    <w:p>
      <w:pPr>
        <w:pStyle w:val="0"/>
        <w:spacing w:before="200" w:lineRule="auto"/>
        <w:ind w:firstLine="540"/>
        <w:jc w:val="both"/>
      </w:pPr>
      <w:r>
        <w:rPr>
          <w:sz w:val="20"/>
        </w:rPr>
        <w:t xml:space="preserve">61. Соглашение должно содержать положения о неприменении требований, установленных </w:t>
      </w:r>
      <w:hyperlink w:history="0" w:anchor="P475"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487"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революции, задержки вследствие аварии или неблагоприятных погодных условий, эпидемии, пандемии, чрезвычайные ситуации, в том числе в сфере здравоохранения, 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соглашении виды деятельности и (или) препятствующих осуществлению получателем субсидии своих обязательств по соглашению.</w:t>
      </w:r>
    </w:p>
    <w:p>
      <w:pPr>
        <w:pStyle w:val="0"/>
        <w:spacing w:before="200" w:lineRule="auto"/>
        <w:ind w:firstLine="540"/>
        <w:jc w:val="both"/>
      </w:pPr>
      <w:r>
        <w:rPr>
          <w:sz w:val="20"/>
        </w:rPr>
        <w:t xml:space="preserve">62. Иная ответственность за нарушение условий и порядка предоставления субсидии получателем субсидии устанавливается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16" w:name="P516"/>
          <w:bookmarkEnd w:id="516"/>
          <w:p>
            <w:pPr>
              <w:pStyle w:val="0"/>
              <w:jc w:val="center"/>
            </w:pPr>
            <w:r>
              <w:rPr>
                <w:sz w:val="20"/>
              </w:rPr>
              <w:t xml:space="preserve">ЗАЯВЛЕНИЕ</w:t>
            </w:r>
          </w:p>
          <w:p>
            <w:pPr>
              <w:pStyle w:val="0"/>
              <w:jc w:val="center"/>
            </w:pPr>
            <w:r>
              <w:rPr>
                <w:sz w:val="20"/>
              </w:rPr>
              <w:t xml:space="preserve">на предоставление субсидии</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ind w:firstLine="283"/>
              <w:jc w:val="both"/>
            </w:pPr>
            <w:r>
              <w:rPr>
                <w:sz w:val="20"/>
              </w:rPr>
              <w:t xml:space="preserve">Прошу предоставить субсидию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субсидия), в размере _____________________________ рублей.</w:t>
            </w:r>
          </w:p>
          <w:p>
            <w:pPr>
              <w:pStyle w:val="0"/>
              <w:ind w:firstLine="283"/>
              <w:jc w:val="both"/>
            </w:pPr>
            <w:r>
              <w:rPr>
                <w:sz w:val="20"/>
              </w:rPr>
              <w:t xml:space="preserve">Инвестиционный проект "_________________________________________________" (далее - проект) реализуется в приоритетной отрасли в соответствии с </w:t>
            </w:r>
            <w:hyperlink w:history="0" r:id="rId14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_________________________________________________________________________</w:t>
            </w:r>
          </w:p>
          <w:p>
            <w:pPr>
              <w:pStyle w:val="0"/>
              <w:ind w:firstLine="283"/>
              <w:jc w:val="both"/>
            </w:pPr>
            <w:r>
              <w:rPr>
                <w:sz w:val="20"/>
              </w:rPr>
              <w:t xml:space="preserve">С категориями получателей субсидии, требованиями к участникам отбора при проведении конкурса и условиями предоставления субсидии ознакомлен и согласен.</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1. Информация об участнике отбора</w:t>
            </w:r>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54"/>
        <w:gridCol w:w="1418"/>
      </w:tblGrid>
      <w:tr>
        <w:tc>
          <w:tcPr>
            <w:tcW w:w="7654" w:type="dxa"/>
          </w:tcPr>
          <w:p>
            <w:pPr>
              <w:pStyle w:val="0"/>
            </w:pPr>
            <w:r>
              <w:rPr>
                <w:sz w:val="20"/>
              </w:rPr>
              <w:t xml:space="preserve">Полное наименование юридического лица,</w:t>
            </w:r>
          </w:p>
          <w:p>
            <w:pPr>
              <w:pStyle w:val="0"/>
            </w:pPr>
            <w:r>
              <w:rPr>
                <w:sz w:val="20"/>
              </w:rPr>
              <w:t xml:space="preserve">Ф.И.О. индивидуального предпринимателя</w:t>
            </w:r>
          </w:p>
        </w:tc>
        <w:tc>
          <w:tcPr>
            <w:tcW w:w="1418" w:type="dxa"/>
          </w:tcPr>
          <w:p>
            <w:pPr>
              <w:pStyle w:val="0"/>
            </w:pPr>
            <w:r>
              <w:rPr>
                <w:sz w:val="20"/>
              </w:rPr>
            </w:r>
          </w:p>
        </w:tc>
      </w:tr>
      <w:tr>
        <w:tc>
          <w:tcPr>
            <w:tcW w:w="7654" w:type="dxa"/>
          </w:tcPr>
          <w:p>
            <w:pPr>
              <w:pStyle w:val="0"/>
            </w:pPr>
            <w:r>
              <w:rPr>
                <w:sz w:val="20"/>
              </w:rPr>
              <w:t xml:space="preserve">ИНН/КПП</w:t>
            </w:r>
          </w:p>
        </w:tc>
        <w:tc>
          <w:tcPr>
            <w:tcW w:w="1418" w:type="dxa"/>
          </w:tcPr>
          <w:p>
            <w:pPr>
              <w:pStyle w:val="0"/>
            </w:pPr>
            <w:r>
              <w:rPr>
                <w:sz w:val="20"/>
              </w:rPr>
            </w:r>
          </w:p>
        </w:tc>
      </w:tr>
      <w:tr>
        <w:tc>
          <w:tcPr>
            <w:tcW w:w="7654" w:type="dxa"/>
          </w:tcPr>
          <w:p>
            <w:pPr>
              <w:pStyle w:val="0"/>
            </w:pPr>
            <w:r>
              <w:rPr>
                <w:sz w:val="20"/>
              </w:rPr>
              <w:t xml:space="preserve">Адрес юридического лица</w:t>
            </w:r>
          </w:p>
        </w:tc>
        <w:tc>
          <w:tcPr>
            <w:tcW w:w="1418" w:type="dxa"/>
          </w:tcPr>
          <w:p>
            <w:pPr>
              <w:pStyle w:val="0"/>
            </w:pPr>
            <w:r>
              <w:rPr>
                <w:sz w:val="20"/>
              </w:rPr>
            </w:r>
          </w:p>
        </w:tc>
      </w:tr>
      <w:tr>
        <w:tc>
          <w:tcPr>
            <w:tcW w:w="7654" w:type="dxa"/>
          </w:tcPr>
          <w:p>
            <w:pPr>
              <w:pStyle w:val="0"/>
            </w:pPr>
            <w:r>
              <w:rPr>
                <w:sz w:val="20"/>
              </w:rPr>
              <w:t xml:space="preserve">Адрес регистрации индивидуального предпринимателя</w:t>
            </w:r>
          </w:p>
        </w:tc>
        <w:tc>
          <w:tcPr>
            <w:tcW w:w="1418" w:type="dxa"/>
          </w:tcPr>
          <w:p>
            <w:pPr>
              <w:pStyle w:val="0"/>
            </w:pPr>
            <w:r>
              <w:rPr>
                <w:sz w:val="20"/>
              </w:rPr>
            </w:r>
          </w:p>
        </w:tc>
      </w:tr>
      <w:tr>
        <w:tc>
          <w:tcPr>
            <w:tcW w:w="7654" w:type="dxa"/>
          </w:tcPr>
          <w:p>
            <w:pPr>
              <w:pStyle w:val="0"/>
            </w:pPr>
            <w:r>
              <w:rPr>
                <w:sz w:val="20"/>
              </w:rPr>
              <w:t xml:space="preserve">Банковские реквизиты для перечисления субсидии</w:t>
            </w:r>
          </w:p>
          <w:p>
            <w:pPr>
              <w:pStyle w:val="0"/>
            </w:pPr>
            <w:r>
              <w:rPr>
                <w:sz w:val="20"/>
              </w:rPr>
              <w:t xml:space="preserve">(наименование банка, БИК, корреспондирующий счет, расчетный счет)</w:t>
            </w:r>
          </w:p>
        </w:tc>
        <w:tc>
          <w:tcPr>
            <w:tcW w:w="1418" w:type="dxa"/>
          </w:tcPr>
          <w:p>
            <w:pPr>
              <w:pStyle w:val="0"/>
            </w:pPr>
            <w:r>
              <w:rPr>
                <w:sz w:val="20"/>
              </w:rPr>
            </w:r>
          </w:p>
        </w:tc>
      </w:tr>
      <w:tr>
        <w:tc>
          <w:tcPr>
            <w:tcW w:w="7654" w:type="dxa"/>
          </w:tcPr>
          <w:p>
            <w:pPr>
              <w:pStyle w:val="0"/>
            </w:pPr>
            <w:r>
              <w:rPr>
                <w:sz w:val="20"/>
              </w:rPr>
              <w:t xml:space="preserve">Место реализации проекта (адрес осуществления деятельности)</w:t>
            </w:r>
          </w:p>
        </w:tc>
        <w:tc>
          <w:tcPr>
            <w:tcW w:w="1418" w:type="dxa"/>
          </w:tcPr>
          <w:p>
            <w:pPr>
              <w:pStyle w:val="0"/>
            </w:pPr>
            <w:r>
              <w:rPr>
                <w:sz w:val="20"/>
              </w:rPr>
            </w:r>
          </w:p>
        </w:tc>
      </w:tr>
      <w:tr>
        <w:tc>
          <w:tcPr>
            <w:tcW w:w="7654" w:type="dxa"/>
          </w:tcPr>
          <w:p>
            <w:pPr>
              <w:pStyle w:val="0"/>
            </w:pPr>
            <w:r>
              <w:rPr>
                <w:sz w:val="20"/>
              </w:rPr>
              <w:t xml:space="preserve">Контактные данные: телефон, адрес электронной почты, контактное лицо (Ф.И.О. полностью)</w:t>
            </w:r>
          </w:p>
        </w:tc>
        <w:tc>
          <w:tcPr>
            <w:tcW w:w="1418" w:type="dxa"/>
          </w:tcPr>
          <w:p>
            <w:pPr>
              <w:pStyle w:val="0"/>
            </w:pPr>
            <w:r>
              <w:rPr>
                <w:sz w:val="20"/>
              </w:rPr>
            </w:r>
          </w:p>
        </w:tc>
      </w:tr>
      <w:tr>
        <w:tc>
          <w:tcPr>
            <w:tcW w:w="7654" w:type="dxa"/>
          </w:tcPr>
          <w:p>
            <w:pPr>
              <w:pStyle w:val="0"/>
            </w:pPr>
            <w:r>
              <w:rPr>
                <w:sz w:val="20"/>
              </w:rPr>
              <w:t xml:space="preserve">Основной вид деятельности </w:t>
            </w:r>
            <w:hyperlink w:history="0" r:id="rId1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осуществляемой на территории города</w:t>
            </w:r>
          </w:p>
        </w:tc>
        <w:tc>
          <w:tcPr>
            <w:tcW w:w="1418" w:type="dxa"/>
          </w:tcPr>
          <w:p>
            <w:pPr>
              <w:pStyle w:val="0"/>
            </w:pPr>
            <w:r>
              <w:rPr>
                <w:sz w:val="20"/>
              </w:rPr>
            </w:r>
          </w:p>
        </w:tc>
      </w:tr>
      <w:tr>
        <w:tc>
          <w:tcPr>
            <w:tcW w:w="7654" w:type="dxa"/>
          </w:tcPr>
          <w:p>
            <w:pPr>
              <w:pStyle w:val="0"/>
            </w:pPr>
            <w:r>
              <w:rPr>
                <w:sz w:val="20"/>
              </w:rPr>
              <w:t xml:space="preserve">Сведения о лице, имеющем право без доверенности действовать от имени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r>
        <w:tc>
          <w:tcPr>
            <w:tcW w:w="7654" w:type="dxa"/>
          </w:tcPr>
          <w:p>
            <w:pPr>
              <w:pStyle w:val="0"/>
            </w:pPr>
            <w:r>
              <w:rPr>
                <w:sz w:val="20"/>
              </w:rPr>
              <w:t xml:space="preserve">Сведения об участниках (учредителях)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r>
        <w:tc>
          <w:tcPr>
            <w:tcW w:w="7654" w:type="dxa"/>
          </w:tcPr>
          <w:p>
            <w:pPr>
              <w:pStyle w:val="0"/>
            </w:pPr>
            <w:r>
              <w:rPr>
                <w:sz w:val="20"/>
              </w:rPr>
              <w:t xml:space="preserve">Сведения о членах коллегиального исполнительного органа (единоличного исполнительного органа)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r>
        <w:tc>
          <w:tcPr>
            <w:tcW w:w="7654" w:type="dxa"/>
          </w:tcPr>
          <w:p>
            <w:pPr>
              <w:pStyle w:val="0"/>
            </w:pPr>
            <w:r>
              <w:rPr>
                <w:sz w:val="20"/>
              </w:rPr>
              <w:t xml:space="preserve">Сведения о главном бухгалтере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bl>
    <w:p>
      <w:pPr>
        <w:pStyle w:val="0"/>
        <w:ind w:firstLine="540"/>
        <w:jc w:val="both"/>
      </w:pPr>
      <w:r>
        <w:rPr>
          <w:sz w:val="20"/>
        </w:rPr>
      </w:r>
    </w:p>
    <w:p>
      <w:pPr>
        <w:pStyle w:val="0"/>
        <w:jc w:val="center"/>
      </w:pPr>
      <w:r>
        <w:rPr>
          <w:sz w:val="20"/>
        </w:rPr>
        <w:t xml:space="preserve">2. Сведения о результатах и выполнении условий</w:t>
      </w:r>
    </w:p>
    <w:p>
      <w:pPr>
        <w:pStyle w:val="0"/>
        <w:jc w:val="center"/>
      </w:pPr>
      <w:r>
        <w:rPr>
          <w:sz w:val="20"/>
        </w:rPr>
        <w:t xml:space="preserve">предоставления субсидии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389"/>
        <w:gridCol w:w="1924"/>
        <w:gridCol w:w="1234"/>
        <w:gridCol w:w="859"/>
        <w:gridCol w:w="1294"/>
        <w:gridCol w:w="1294"/>
      </w:tblGrid>
      <w:tr>
        <w:tc>
          <w:tcPr>
            <w:tcW w:w="454" w:type="dxa"/>
            <w:vMerge w:val="restart"/>
          </w:tcPr>
          <w:p>
            <w:pPr>
              <w:pStyle w:val="0"/>
              <w:jc w:val="center"/>
            </w:pPr>
            <w:r>
              <w:rPr>
                <w:sz w:val="20"/>
              </w:rPr>
              <w:t xml:space="preserve">N п/п</w:t>
            </w:r>
          </w:p>
        </w:tc>
        <w:tc>
          <w:tcPr>
            <w:tcW w:w="2389" w:type="dxa"/>
            <w:vMerge w:val="restart"/>
          </w:tcPr>
          <w:p>
            <w:pPr>
              <w:pStyle w:val="0"/>
              <w:jc w:val="center"/>
            </w:pPr>
            <w:r>
              <w:rPr>
                <w:sz w:val="20"/>
              </w:rPr>
              <w:t xml:space="preserve">Наименование</w:t>
            </w:r>
          </w:p>
        </w:tc>
        <w:tc>
          <w:tcPr>
            <w:gridSpan w:val="5"/>
            <w:tcW w:w="6605" w:type="dxa"/>
          </w:tcPr>
          <w:p>
            <w:pPr>
              <w:pStyle w:val="0"/>
              <w:jc w:val="center"/>
            </w:pPr>
            <w:r>
              <w:rPr>
                <w:sz w:val="20"/>
              </w:rPr>
              <w:t xml:space="preserve">Значение в результате реализации проекта по периодам:</w:t>
            </w:r>
          </w:p>
        </w:tc>
      </w:tr>
      <w:tr>
        <w:tc>
          <w:tcPr>
            <w:vMerge w:val="continue"/>
          </w:tcPr>
          <w:p/>
        </w:tc>
        <w:tc>
          <w:tcPr>
            <w:vMerge w:val="continue"/>
          </w:tcPr>
          <w:p/>
        </w:tc>
        <w:tc>
          <w:tcPr>
            <w:tcW w:w="1924" w:type="dxa"/>
          </w:tcPr>
          <w:p>
            <w:pPr>
              <w:pStyle w:val="0"/>
              <w:jc w:val="center"/>
            </w:pPr>
            <w:r>
              <w:rPr>
                <w:sz w:val="20"/>
              </w:rPr>
              <w:t xml:space="preserve">год, предшествующий году подачи заявки (факт)</w:t>
            </w:r>
          </w:p>
        </w:tc>
        <w:tc>
          <w:tcPr>
            <w:tcW w:w="1234" w:type="dxa"/>
          </w:tcPr>
          <w:p>
            <w:pPr>
              <w:pStyle w:val="0"/>
              <w:jc w:val="center"/>
            </w:pPr>
            <w:r>
              <w:rPr>
                <w:sz w:val="20"/>
              </w:rPr>
              <w:t xml:space="preserve">год подачи заявки по состоянию на 1-е число месяца подачи заявки (факт)</w:t>
            </w:r>
          </w:p>
        </w:tc>
        <w:tc>
          <w:tcPr>
            <w:tcW w:w="859" w:type="dxa"/>
          </w:tcPr>
          <w:p>
            <w:pPr>
              <w:pStyle w:val="0"/>
              <w:jc w:val="center"/>
            </w:pPr>
            <w:r>
              <w:rPr>
                <w:sz w:val="20"/>
              </w:rPr>
              <w:t xml:space="preserve">год подачи заявки (план)</w:t>
            </w:r>
          </w:p>
        </w:tc>
        <w:tc>
          <w:tcPr>
            <w:tcW w:w="1294" w:type="dxa"/>
          </w:tcPr>
          <w:p>
            <w:pPr>
              <w:pStyle w:val="0"/>
              <w:jc w:val="center"/>
            </w:pPr>
            <w:r>
              <w:rPr>
                <w:sz w:val="20"/>
              </w:rPr>
              <w:t xml:space="preserve">1-й год, следующий за годом подачи заявки (план)</w:t>
            </w:r>
          </w:p>
        </w:tc>
        <w:tc>
          <w:tcPr>
            <w:tcW w:w="1294" w:type="dxa"/>
          </w:tcPr>
          <w:p>
            <w:pPr>
              <w:pStyle w:val="0"/>
              <w:jc w:val="center"/>
            </w:pPr>
            <w:r>
              <w:rPr>
                <w:sz w:val="20"/>
              </w:rPr>
              <w:t xml:space="preserve">2-й год, следующий за годом подачи заявки (план)</w:t>
            </w:r>
          </w:p>
        </w:tc>
      </w:tr>
      <w:tr>
        <w:tc>
          <w:tcPr>
            <w:tcW w:w="454" w:type="dxa"/>
          </w:tcPr>
          <w:p>
            <w:pPr>
              <w:pStyle w:val="0"/>
              <w:jc w:val="center"/>
            </w:pPr>
            <w:r>
              <w:rPr>
                <w:sz w:val="20"/>
              </w:rPr>
              <w:t xml:space="preserve">1</w:t>
            </w:r>
          </w:p>
        </w:tc>
        <w:tc>
          <w:tcPr>
            <w:tcW w:w="2389" w:type="dxa"/>
          </w:tcPr>
          <w:p>
            <w:pPr>
              <w:pStyle w:val="0"/>
              <w:jc w:val="center"/>
            </w:pPr>
            <w:r>
              <w:rPr>
                <w:sz w:val="20"/>
              </w:rPr>
              <w:t xml:space="preserve">2</w:t>
            </w:r>
          </w:p>
        </w:tc>
        <w:tc>
          <w:tcPr>
            <w:tcW w:w="1924" w:type="dxa"/>
          </w:tcPr>
          <w:p>
            <w:pPr>
              <w:pStyle w:val="0"/>
              <w:jc w:val="center"/>
            </w:pPr>
            <w:r>
              <w:rPr>
                <w:sz w:val="20"/>
              </w:rPr>
              <w:t xml:space="preserve">3 = n - 1</w:t>
            </w:r>
          </w:p>
        </w:tc>
        <w:tc>
          <w:tcPr>
            <w:tcW w:w="1234" w:type="dxa"/>
          </w:tcPr>
          <w:p>
            <w:pPr>
              <w:pStyle w:val="0"/>
              <w:jc w:val="center"/>
            </w:pPr>
            <w:r>
              <w:rPr>
                <w:sz w:val="20"/>
              </w:rPr>
              <w:t xml:space="preserve">4</w:t>
            </w:r>
          </w:p>
        </w:tc>
        <w:tc>
          <w:tcPr>
            <w:tcW w:w="859" w:type="dxa"/>
          </w:tcPr>
          <w:p>
            <w:pPr>
              <w:pStyle w:val="0"/>
              <w:jc w:val="center"/>
            </w:pPr>
            <w:r>
              <w:rPr>
                <w:sz w:val="20"/>
              </w:rPr>
              <w:t xml:space="preserve">5 = n </w:t>
            </w:r>
            <w:hyperlink w:history="0" w:anchor="P664" w:tooltip="&lt;*&gt; n - год подачи заявки (текущий финансовый год);">
              <w:r>
                <w:rPr>
                  <w:sz w:val="20"/>
                  <w:color w:val="0000ff"/>
                </w:rPr>
                <w:t xml:space="preserve">&lt;*&gt;</w:t>
              </w:r>
            </w:hyperlink>
          </w:p>
        </w:tc>
        <w:tc>
          <w:tcPr>
            <w:tcW w:w="1294" w:type="dxa"/>
          </w:tcPr>
          <w:p>
            <w:pPr>
              <w:pStyle w:val="0"/>
              <w:jc w:val="center"/>
            </w:pPr>
            <w:r>
              <w:rPr>
                <w:sz w:val="20"/>
              </w:rPr>
              <w:t xml:space="preserve">6 = n + 1</w:t>
            </w:r>
          </w:p>
        </w:tc>
        <w:tc>
          <w:tcPr>
            <w:tcW w:w="1294" w:type="dxa"/>
          </w:tcPr>
          <w:p>
            <w:pPr>
              <w:pStyle w:val="0"/>
              <w:jc w:val="center"/>
            </w:pPr>
            <w:r>
              <w:rPr>
                <w:sz w:val="20"/>
              </w:rPr>
              <w:t xml:space="preserve">7 = n + 2</w:t>
            </w:r>
          </w:p>
        </w:tc>
      </w:tr>
      <w:tr>
        <w:tc>
          <w:tcPr>
            <w:tcW w:w="454" w:type="dxa"/>
          </w:tcPr>
          <w:p>
            <w:pPr>
              <w:pStyle w:val="0"/>
            </w:pPr>
            <w:r>
              <w:rPr>
                <w:sz w:val="20"/>
              </w:rPr>
              <w:t xml:space="preserve">1</w:t>
            </w:r>
          </w:p>
        </w:tc>
        <w:tc>
          <w:tcPr>
            <w:tcW w:w="2389" w:type="dxa"/>
          </w:tcPr>
          <w:p>
            <w:pPr>
              <w:pStyle w:val="0"/>
            </w:pPr>
            <w:r>
              <w:rPr>
                <w:sz w:val="20"/>
              </w:rPr>
              <w:t xml:space="preserve">Объем привлеченных инвестиций на реализацию проекта, тыс. рублей </w:t>
            </w:r>
            <w:hyperlink w:history="0" w:anchor="P667" w:tooltip="&lt;1&gt; Значения результата предоставления субсидии указываются в соответствии с положениями, установленными подпунктом 8 пункта 2, подпунктом 1 пункта 37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
              <w:r>
                <w:rPr>
                  <w:sz w:val="20"/>
                  <w:color w:val="0000ff"/>
                </w:rPr>
                <w:t xml:space="preserve">&lt;1&gt;</w:t>
              </w:r>
            </w:hyperlink>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w:t>
            </w:r>
          </w:p>
        </w:tc>
        <w:tc>
          <w:tcPr>
            <w:tcW w:w="2389" w:type="dxa"/>
          </w:tcPr>
          <w:p>
            <w:pPr>
              <w:pStyle w:val="0"/>
            </w:pPr>
            <w:r>
              <w:rPr>
                <w:sz w:val="20"/>
              </w:rPr>
              <w:t xml:space="preserve">Количество сохраненных рабочих мест (включая индивидуальных предпринимателей), единица</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3</w:t>
            </w:r>
          </w:p>
        </w:tc>
        <w:tc>
          <w:tcPr>
            <w:tcW w:w="2389" w:type="dxa"/>
          </w:tcPr>
          <w:p>
            <w:pPr>
              <w:pStyle w:val="0"/>
            </w:pPr>
            <w:r>
              <w:rPr>
                <w:sz w:val="20"/>
              </w:rPr>
              <w:t xml:space="preserve">Рост дохода субъекта малого и среднего предпринимательства в году подачи заявки не менее 103,3 процента значения сводного индекса потребительских цен по Красноярскому краю, установленного в году подачи заявки, процент </w:t>
            </w:r>
            <w:hyperlink w:history="0" w:anchor="P668" w:tooltip="&lt;2&gt; Значение результата предоставления субсидии определяется с учетом положений, установленных подпунктом 3 пункта 37 Положения.">
              <w:r>
                <w:rPr>
                  <w:sz w:val="20"/>
                  <w:color w:val="0000ff"/>
                </w:rPr>
                <w:t xml:space="preserve">&lt;2&gt;</w:t>
              </w:r>
            </w:hyperlink>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859" w:type="dxa"/>
          </w:tcPr>
          <w:p>
            <w:pPr>
              <w:pStyle w:val="0"/>
            </w:pPr>
            <w:r>
              <w:rPr>
                <w:sz w:val="20"/>
              </w:rPr>
            </w:r>
          </w:p>
        </w:tc>
        <w:tc>
          <w:tcPr>
            <w:tcW w:w="129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pPr>
            <w:r>
              <w:rPr>
                <w:sz w:val="20"/>
              </w:rPr>
              <w:t xml:space="preserve">4</w:t>
            </w:r>
          </w:p>
        </w:tc>
        <w:tc>
          <w:tcPr>
            <w:tcW w:w="2389" w:type="dxa"/>
          </w:tcPr>
          <w:p>
            <w:pPr>
              <w:pStyle w:val="0"/>
            </w:pPr>
            <w:r>
              <w:rPr>
                <w:sz w:val="20"/>
              </w:rPr>
              <w:t xml:space="preserve">Осуществление (непрекращение) деятельности в течение периода (да)</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5</w:t>
            </w:r>
          </w:p>
        </w:tc>
        <w:tc>
          <w:tcPr>
            <w:tcW w:w="2389" w:type="dxa"/>
          </w:tcPr>
          <w:p>
            <w:pPr>
              <w:pStyle w:val="0"/>
            </w:pPr>
            <w:r>
              <w:rPr>
                <w:sz w:val="20"/>
              </w:rPr>
              <w:t xml:space="preserve">Объем производства продукции (товаров, работ, услуг),</w:t>
            </w:r>
          </w:p>
          <w:p>
            <w:pPr>
              <w:pStyle w:val="0"/>
            </w:pPr>
            <w:r>
              <w:rPr>
                <w:sz w:val="20"/>
              </w:rPr>
              <w:t xml:space="preserve">тыс. рублей</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664" w:name="P664"/>
    <w:bookmarkEnd w:id="664"/>
    <w:p>
      <w:pPr>
        <w:pStyle w:val="0"/>
        <w:spacing w:before="200" w:lineRule="auto"/>
        <w:ind w:firstLine="540"/>
        <w:jc w:val="both"/>
      </w:pPr>
      <w:r>
        <w:rPr>
          <w:sz w:val="20"/>
        </w:rPr>
        <w:t xml:space="preserve">&lt;*&gt; n - год подачи заявки (текущий финансовый год);</w:t>
      </w:r>
    </w:p>
    <w:p>
      <w:pPr>
        <w:pStyle w:val="0"/>
        <w:spacing w:before="200" w:lineRule="auto"/>
        <w:ind w:firstLine="540"/>
        <w:jc w:val="both"/>
      </w:pPr>
      <w:r>
        <w:rPr>
          <w:sz w:val="20"/>
        </w:rPr>
        <w:t xml:space="preserve">n - 1, n - 2 - финансовые годы, предшествующие году подачи заявки;</w:t>
      </w:r>
    </w:p>
    <w:p>
      <w:pPr>
        <w:pStyle w:val="0"/>
        <w:spacing w:before="200" w:lineRule="auto"/>
        <w:ind w:firstLine="540"/>
        <w:jc w:val="both"/>
      </w:pPr>
      <w:r>
        <w:rPr>
          <w:sz w:val="20"/>
        </w:rPr>
        <w:t xml:space="preserve">n + 1 - финансовый год, следующий за годом подачи заявки.</w:t>
      </w:r>
    </w:p>
    <w:bookmarkStart w:id="667" w:name="P667"/>
    <w:bookmarkEnd w:id="667"/>
    <w:p>
      <w:pPr>
        <w:pStyle w:val="0"/>
        <w:spacing w:before="200" w:lineRule="auto"/>
        <w:ind w:firstLine="540"/>
        <w:jc w:val="both"/>
      </w:pPr>
      <w:r>
        <w:rPr>
          <w:sz w:val="20"/>
        </w:rPr>
        <w:t xml:space="preserve">&lt;1&gt; Значения результата предоставления субсидии указываются в соответствии с положениями, установленными </w:t>
      </w:r>
      <w:hyperlink w:history="0" w:anchor="P71" w:tooltip="8) инвестиции - часть полной стоимости проекта в период его реализации в отрезки времени, определенные настоящим Положением;">
        <w:r>
          <w:rPr>
            <w:sz w:val="20"/>
            <w:color w:val="0000ff"/>
          </w:rPr>
          <w:t xml:space="preserve">подпунктом 8 пункта 2</w:t>
        </w:r>
      </w:hyperlink>
      <w:r>
        <w:rPr>
          <w:sz w:val="20"/>
        </w:rPr>
        <w:t xml:space="preserve">, </w:t>
      </w:r>
      <w:hyperlink w:history="0" w:anchor="P386" w:tooltip="1) объем привлеченных инвестиций на реализацию проекта. Единица измерения: тысяч рублей.">
        <w:r>
          <w:rPr>
            <w:sz w:val="20"/>
            <w:color w:val="0000ff"/>
          </w:rPr>
          <w:t xml:space="preserve">подпунктом 1 пункта 37</w:t>
        </w:r>
      </w:hyperlink>
      <w:r>
        <w:rPr>
          <w:sz w:val="20"/>
        </w:rPr>
        <w:t xml:space="preserve">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w:t>
      </w:r>
    </w:p>
    <w:bookmarkStart w:id="668" w:name="P668"/>
    <w:bookmarkEnd w:id="668"/>
    <w:p>
      <w:pPr>
        <w:pStyle w:val="0"/>
        <w:spacing w:before="200" w:lineRule="auto"/>
        <w:ind w:firstLine="540"/>
        <w:jc w:val="both"/>
      </w:pPr>
      <w:r>
        <w:rPr>
          <w:sz w:val="20"/>
        </w:rPr>
        <w:t xml:space="preserve">&lt;2&gt; Значение результата предоставления субсидии определяется с учетом положений, установленных </w:t>
      </w:r>
      <w:hyperlink w:history="0" w:anchor="P398" w:tooltip="3) рост дохода субъекта малого и среднего предпринимательства в году подачи заявки в размере не менее 103,3 процента значения сводного индекса потребительских цен по Красноярскому краю, установленного в году подачи заявки. Единица измерения: процент.">
        <w:r>
          <w:rPr>
            <w:sz w:val="20"/>
            <w:color w:val="0000ff"/>
          </w:rPr>
          <w:t xml:space="preserve">подпунктом 3 пункта 37</w:t>
        </w:r>
      </w:hyperlink>
      <w:r>
        <w:rPr>
          <w:sz w:val="20"/>
        </w:rPr>
        <w:t xml:space="preserve"> Положения.</w:t>
      </w:r>
    </w:p>
    <w:p>
      <w:pPr>
        <w:pStyle w:val="0"/>
        <w:ind w:firstLine="54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709"/>
        <w:gridCol w:w="1364"/>
        <w:gridCol w:w="1978"/>
        <w:gridCol w:w="3103"/>
        <w:gridCol w:w="1889"/>
      </w:tblGrid>
      <w:tr>
        <w:tc>
          <w:tcPr>
            <w:gridSpan w:val="5"/>
            <w:tcW w:w="9043" w:type="dxa"/>
            <w:tcBorders>
              <w:top w:val="nil"/>
              <w:left w:val="nil"/>
              <w:bottom w:val="nil"/>
              <w:right w:val="nil"/>
            </w:tcBorders>
          </w:tcPr>
          <w:p>
            <w:pPr>
              <w:pStyle w:val="0"/>
              <w:ind w:firstLine="283"/>
              <w:jc w:val="both"/>
            </w:pPr>
            <w:r>
              <w:rPr>
                <w:sz w:val="20"/>
              </w:rPr>
              <w:t xml:space="preserve">3. Участник отбора в случае получения субсидии принимает обязательства по исполнению условий предоставления субсидии:</w:t>
            </w:r>
          </w:p>
          <w:p>
            <w:pPr>
              <w:pStyle w:val="0"/>
              <w:ind w:firstLine="283"/>
              <w:jc w:val="both"/>
            </w:pPr>
            <w:r>
              <w:rPr>
                <w:sz w:val="20"/>
              </w:rPr>
              <w:t xml:space="preserve">3.1. Не прекращать осуществление деятельности в течение 2 лет после даты получения субсидии, установленной </w:t>
            </w:r>
            <w:hyperlink w:history="0" w:anchor="P410"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
              <w:r>
                <w:rPr>
                  <w:sz w:val="20"/>
                  <w:color w:val="0000ff"/>
                </w:rPr>
                <w:t xml:space="preserve">абзацем вторым подпункта 1 пункта 38</w:t>
              </w:r>
            </w:hyperlink>
            <w:r>
              <w:rPr>
                <w:sz w:val="20"/>
              </w:rPr>
              <w:t xml:space="preserve"> Положения.</w:t>
            </w:r>
          </w:p>
          <w:p>
            <w:pPr>
              <w:pStyle w:val="0"/>
              <w:ind w:firstLine="283"/>
              <w:jc w:val="both"/>
            </w:pPr>
            <w:r>
              <w:rPr>
                <w:sz w:val="20"/>
              </w:rPr>
              <w:t xml:space="preserve">3.2. Сохранить объем производства продукции: товаров, работ, услуг (тыс. рублей) в году, следующем за годом получения субсидии, на уровне не ниже чем в году, предшествующем году получения субсидии.</w:t>
            </w:r>
          </w:p>
          <w:p>
            <w:pPr>
              <w:pStyle w:val="0"/>
              <w:ind w:firstLine="283"/>
              <w:jc w:val="both"/>
            </w:pPr>
            <w:r>
              <w:rPr>
                <w:sz w:val="20"/>
              </w:rPr>
              <w:t xml:space="preserve">3.3. Представлять отчетность в соответствии с требованиями Положения и заключенного соглашения о предоставлении субсидии.</w:t>
            </w:r>
          </w:p>
          <w:p>
            <w:pPr>
              <w:pStyle w:val="0"/>
              <w:ind w:firstLine="283"/>
              <w:jc w:val="both"/>
            </w:pPr>
            <w:r>
              <w:rPr>
                <w:sz w:val="20"/>
              </w:rPr>
              <w:t xml:space="preserve">3.4. Сумму оказанной поддержки направить на реализацию в приоритетных отраслях инвестиционных проектов в сфере производства, связанных (нужное отметить любым знаком):</w:t>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с развитием (модернизацией) действующего производства товаров (работ, услуг) по следующим видам экономической деятельности (перечислить в соответствии с </w:t>
            </w:r>
            <w:hyperlink w:history="0" r:id="rId1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nil"/>
            </w:tcBorders>
            <w:vMerge w:val="restart"/>
          </w:tcPr>
          <w:p>
            <w:pPr>
              <w:pStyle w:val="0"/>
            </w:pPr>
            <w:r>
              <w:rPr>
                <w:sz w:val="20"/>
              </w:rPr>
            </w:r>
          </w:p>
        </w:tc>
        <w:tc>
          <w:tcPr>
            <w:gridSpan w:val="4"/>
            <w:tcW w:w="8334" w:type="dxa"/>
            <w:tcBorders>
              <w:top w:val="nil"/>
              <w:bottom w:val="single" w:sz="4"/>
            </w:tcBorders>
          </w:tcPr>
          <w:p>
            <w:pPr>
              <w:pStyle w:val="0"/>
            </w:pPr>
            <w:r>
              <w:rPr>
                <w:sz w:val="20"/>
              </w:rPr>
            </w:r>
          </w:p>
        </w:tc>
      </w:tr>
      <w:tr>
        <w:tblPrEx>
          <w:tblBorders>
            <w:insideV w:val="nil"/>
            <w:insideH w:val="single" w:sz="4"/>
          </w:tblBorders>
        </w:tblPrEx>
        <w:tc>
          <w:tcPr>
            <w:tcBorders>
              <w:top w:val="nil"/>
              <w:bottom w:val="nil"/>
            </w:tcBorders>
            <w:vMerge w:val="continue"/>
          </w:tcPr>
          <w:p/>
        </w:tc>
        <w:tc>
          <w:tcPr>
            <w:gridSpan w:val="4"/>
            <w:tcW w:w="8334" w:type="dxa"/>
            <w:tcBorders>
              <w:top w:val="single" w:sz="4"/>
              <w:bottom w:val="single" w:sz="4"/>
            </w:tcBorders>
          </w:tcPr>
          <w:p>
            <w:pPr>
              <w:pStyle w:val="0"/>
            </w:pPr>
            <w:r>
              <w:rPr>
                <w:sz w:val="20"/>
              </w:rPr>
            </w: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single" w:sz="4"/>
              <w:bottom w:val="nil"/>
            </w:tcBorders>
          </w:tcPr>
          <w:p>
            <w:pPr>
              <w:pStyle w:val="0"/>
            </w:pPr>
            <w:r>
              <w:rPr>
                <w:sz w:val="20"/>
              </w:rPr>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с созданием нового производства товаров (работ, услуг) по следующим видам экономической деятельности (перечислить в соответствии с </w:t>
            </w:r>
            <w:hyperlink w:history="0" r:id="rId14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nil"/>
            </w:tcBorders>
          </w:tcPr>
          <w:p>
            <w:pPr>
              <w:pStyle w:val="0"/>
            </w:pPr>
            <w:r>
              <w:rPr>
                <w:sz w:val="20"/>
              </w:rPr>
            </w:r>
          </w:p>
        </w:tc>
        <w:tc>
          <w:tcPr>
            <w:gridSpan w:val="4"/>
            <w:tcW w:w="8334" w:type="dxa"/>
            <w:tcBorders>
              <w:top w:val="nil"/>
              <w:bottom w:val="single" w:sz="4"/>
            </w:tcBorders>
          </w:tcPr>
          <w:p>
            <w:pPr>
              <w:pStyle w:val="0"/>
            </w:pPr>
            <w:r>
              <w:rPr>
                <w:sz w:val="20"/>
              </w:rPr>
            </w:r>
          </w:p>
        </w:tc>
      </w:tr>
      <w:tr>
        <w:tblPrEx>
          <w:tblBorders>
            <w:insideV w:val="nil"/>
          </w:tblBorders>
        </w:tblPrEx>
        <w:tc>
          <w:tcPr>
            <w:tcW w:w="709" w:type="dxa"/>
            <w:tcBorders>
              <w:top w:val="nil"/>
              <w:bottom w:val="nil"/>
            </w:tcBorders>
          </w:tcPr>
          <w:p>
            <w:pPr>
              <w:pStyle w:val="0"/>
            </w:pPr>
            <w:r>
              <w:rPr>
                <w:sz w:val="20"/>
              </w:rPr>
            </w:r>
          </w:p>
        </w:tc>
        <w:tc>
          <w:tcPr>
            <w:gridSpan w:val="4"/>
            <w:tcW w:w="8334" w:type="dxa"/>
            <w:tcBorders>
              <w:top w:val="single" w:sz="4"/>
              <w:bottom w:val="single" w:sz="4"/>
            </w:tcBorders>
          </w:tcPr>
          <w:p>
            <w:pPr>
              <w:pStyle w:val="0"/>
            </w:pPr>
            <w:r>
              <w:rPr>
                <w:sz w:val="20"/>
              </w:rPr>
            </w:r>
          </w:p>
        </w:tc>
      </w:tr>
      <w:tr>
        <w:tc>
          <w:tcPr>
            <w:gridSpan w:val="5"/>
            <w:tcW w:w="9043" w:type="dxa"/>
            <w:tcBorders>
              <w:top w:val="nil"/>
              <w:left w:val="nil"/>
              <w:bottom w:val="nil"/>
              <w:right w:val="nil"/>
            </w:tcBorders>
          </w:tcPr>
          <w:p>
            <w:pPr>
              <w:pStyle w:val="0"/>
            </w:pPr>
            <w:r>
              <w:rPr>
                <w:sz w:val="20"/>
              </w:rPr>
            </w:r>
          </w:p>
        </w:tc>
      </w:tr>
      <w:tr>
        <w:tc>
          <w:tcPr>
            <w:gridSpan w:val="5"/>
            <w:tcW w:w="9043" w:type="dxa"/>
            <w:tcBorders>
              <w:top w:val="nil"/>
              <w:left w:val="nil"/>
              <w:bottom w:val="nil"/>
              <w:right w:val="nil"/>
            </w:tcBorders>
          </w:tcPr>
          <w:p>
            <w:pPr>
              <w:pStyle w:val="0"/>
              <w:ind w:firstLine="283"/>
              <w:jc w:val="both"/>
            </w:pPr>
            <w:r>
              <w:rPr>
                <w:sz w:val="20"/>
              </w:rPr>
              <w:t xml:space="preserve">4. Участник отбора настоящим подтверждает, что:</w:t>
            </w:r>
          </w:p>
          <w:p>
            <w:pPr>
              <w:pStyle w:val="0"/>
              <w:ind w:firstLine="283"/>
              <w:jc w:val="both"/>
            </w:pPr>
            <w:r>
              <w:rPr>
                <w:sz w:val="20"/>
              </w:rPr>
              <w:t xml:space="preserve">4.1. Соответствует требованиям, установленным </w:t>
            </w:r>
            <w:hyperlink w:history="0" r:id="rId148"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статьей 4</w:t>
              </w:r>
            </w:hyperlink>
            <w:r>
              <w:rPr>
                <w:sz w:val="20"/>
              </w:rPr>
              <w:t xml:space="preserve"> Федерального закона от 24.07.2007 N 209-ФЗ, и является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микропредприятием;</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малым предприятием;</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средним предприятием.</w:t>
            </w:r>
          </w:p>
        </w:tc>
      </w:tr>
      <w:tr>
        <w:tc>
          <w:tcPr>
            <w:gridSpan w:val="5"/>
            <w:tcW w:w="9043" w:type="dxa"/>
            <w:tcBorders>
              <w:top w:val="nil"/>
              <w:left w:val="nil"/>
              <w:bottom w:val="nil"/>
              <w:right w:val="nil"/>
            </w:tcBorders>
          </w:tcPr>
          <w:p>
            <w:pPr>
              <w:pStyle w:val="0"/>
              <w:ind w:firstLine="283"/>
              <w:jc w:val="both"/>
            </w:pPr>
            <w:r>
              <w:rPr>
                <w:sz w:val="20"/>
              </w:rPr>
              <w:t xml:space="preserve">4.2. Применяет систему налогообложения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общая система налогообложения (ОСН);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упрощенная система налогообложения (УСН);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патентная система налогообложения (ПСН);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единый сельскохозяйственный налог для сельскохозяйственных производителей (ЕСН);</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налог на профессиональный доход (НПД).</w:t>
            </w:r>
          </w:p>
        </w:tc>
      </w:tr>
      <w:tr>
        <w:tc>
          <w:tcPr>
            <w:gridSpan w:val="5"/>
            <w:tcW w:w="9043" w:type="dxa"/>
            <w:tcBorders>
              <w:top w:val="nil"/>
              <w:left w:val="nil"/>
              <w:bottom w:val="nil"/>
              <w:right w:val="nil"/>
            </w:tcBorders>
          </w:tcPr>
          <w:p>
            <w:pPr>
              <w:pStyle w:val="0"/>
              <w:ind w:firstLine="283"/>
              <w:jc w:val="both"/>
            </w:pPr>
            <w:r>
              <w:rPr>
                <w:sz w:val="20"/>
              </w:rPr>
              <w:t xml:space="preserve">4.3. Является плательщиком налога на добавленную стоимость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4.4. На основании </w:t>
            </w:r>
            <w:hyperlink w:history="0" r:id="rId149"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частей 3</w:t>
              </w:r>
            </w:hyperlink>
            <w:r>
              <w:rPr>
                <w:sz w:val="20"/>
              </w:rPr>
              <w:t xml:space="preserve">, </w:t>
            </w:r>
            <w:hyperlink w:history="0" r:id="rId150"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4 статьи 14</w:t>
              </w:r>
            </w:hyperlink>
            <w:r>
              <w:rPr>
                <w:sz w:val="20"/>
              </w:rPr>
              <w:t xml:space="preserve"> Федерального закона от 24.07.2007 N 209-ФЗ субъект малого и среднего предпринимательства:</w:t>
            </w:r>
          </w:p>
          <w:p>
            <w:pPr>
              <w:pStyle w:val="0"/>
              <w:ind w:firstLine="283"/>
              <w:jc w:val="both"/>
            </w:pPr>
            <w:r>
              <w:rPr>
                <w:sz w:val="20"/>
              </w:rPr>
              <w:t xml:space="preserve">1) является кредитной организацией, страховой организацией (кроме потребительского кооператива), инвестиционным фондом, негосударственным пенсионным фондом, профессиональным участником рынка ценных бумаг, ломбардом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2) является участником соглашений о разделе продукции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3) осуществляет предпринимательскую деятельность в сфере игорного бизнеса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4)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5) осуществляет производство и (или) реализацию подакцизных товаров, за исключением сахаросодержащих напитков, кроме тонизирующих напитков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6) осуществляет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4.5. Субъект малого и среднего предпринимательства зарегистрирован в соответствии с действующим законодательством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зарегистрирован;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зарегистрирован.</w:t>
            </w:r>
          </w:p>
        </w:tc>
      </w:tr>
      <w:tr>
        <w:tc>
          <w:tcPr>
            <w:gridSpan w:val="5"/>
            <w:tcW w:w="9043" w:type="dxa"/>
            <w:tcBorders>
              <w:top w:val="nil"/>
              <w:left w:val="nil"/>
              <w:bottom w:val="nil"/>
              <w:right w:val="nil"/>
            </w:tcBorders>
          </w:tcPr>
          <w:p>
            <w:pPr>
              <w:pStyle w:val="0"/>
              <w:ind w:firstLine="283"/>
              <w:jc w:val="both"/>
            </w:pPr>
            <w:r>
              <w:rPr>
                <w:sz w:val="20"/>
              </w:rPr>
              <w:t xml:space="preserve">4.6. Субъект малого и среднего предпринимательства состоит в Едином реестре субъектов малого и среднего предпринимательства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состоит;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состоит.</w:t>
            </w:r>
          </w:p>
        </w:tc>
      </w:tr>
      <w:tr>
        <w:tc>
          <w:tcPr>
            <w:gridSpan w:val="5"/>
            <w:tcW w:w="9043" w:type="dxa"/>
            <w:tcBorders>
              <w:top w:val="nil"/>
              <w:left w:val="nil"/>
              <w:bottom w:val="nil"/>
              <w:right w:val="nil"/>
            </w:tcBorders>
          </w:tcPr>
          <w:p>
            <w:pPr>
              <w:pStyle w:val="0"/>
              <w:ind w:firstLine="283"/>
              <w:jc w:val="both"/>
            </w:pPr>
            <w:r>
              <w:rPr>
                <w:sz w:val="20"/>
              </w:rPr>
              <w:t xml:space="preserve">4.7. Субъект малого и среднего предпринимательства осуществляет на территории муниципального образования городского округа город Красноярск Красноярского края виды предпринимательской деятельности в соответствии с ОКВЭД, за исключением видов деятельности, включенных в </w:t>
            </w:r>
            <w:hyperlink w:history="0" r:id="rId1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 12 раздела С</w:t>
              </w:r>
            </w:hyperlink>
            <w:r>
              <w:rPr>
                <w:sz w:val="20"/>
              </w:rPr>
              <w:t xml:space="preserve">, </w:t>
            </w:r>
            <w:hyperlink w:history="0" r:id="rId1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 92 раздела R</w:t>
              </w:r>
            </w:hyperlink>
            <w:r>
              <w:rPr>
                <w:sz w:val="20"/>
              </w:rPr>
              <w:t xml:space="preserve">, </w:t>
            </w:r>
            <w:hyperlink w:history="0" r:id="rId1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разделы А</w:t>
              </w:r>
            </w:hyperlink>
            <w:r>
              <w:rPr>
                <w:sz w:val="20"/>
              </w:rPr>
              <w:t xml:space="preserve"> (кроме классов </w:t>
            </w:r>
            <w:hyperlink w:history="0" r:id="rId1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02</w:t>
              </w:r>
            </w:hyperlink>
            <w:r>
              <w:rPr>
                <w:sz w:val="20"/>
              </w:rPr>
              <w:t xml:space="preserve">, </w:t>
            </w:r>
            <w:hyperlink w:history="0" r:id="rId1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03</w:t>
              </w:r>
            </w:hyperlink>
            <w:r>
              <w:rPr>
                <w:sz w:val="20"/>
              </w:rPr>
              <w:t xml:space="preserve">), </w:t>
            </w:r>
            <w:hyperlink w:history="0" r:id="rId15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B</w:t>
              </w:r>
            </w:hyperlink>
            <w:r>
              <w:rPr>
                <w:sz w:val="20"/>
              </w:rPr>
              <w:t xml:space="preserve">, </w:t>
            </w:r>
            <w:hyperlink w:history="0" r:id="rId1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D</w:t>
              </w:r>
            </w:hyperlink>
            <w:r>
              <w:rPr>
                <w:sz w:val="20"/>
              </w:rPr>
              <w:t xml:space="preserve">, </w:t>
            </w:r>
            <w:hyperlink w:history="0" r:id="rId1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E</w:t>
              </w:r>
            </w:hyperlink>
            <w:r>
              <w:rPr>
                <w:sz w:val="20"/>
              </w:rPr>
              <w:t xml:space="preserve"> (кроме классов </w:t>
            </w:r>
            <w:hyperlink w:history="0" r:id="rId15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38</w:t>
              </w:r>
            </w:hyperlink>
            <w:r>
              <w:rPr>
                <w:sz w:val="20"/>
              </w:rPr>
              <w:t xml:space="preserve">, </w:t>
            </w:r>
            <w:hyperlink w:history="0" r:id="rId16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39</w:t>
              </w:r>
            </w:hyperlink>
            <w:r>
              <w:rPr>
                <w:sz w:val="20"/>
              </w:rPr>
              <w:t xml:space="preserve">), </w:t>
            </w:r>
            <w:hyperlink w:history="0" r:id="rId1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G</w:t>
              </w:r>
            </w:hyperlink>
            <w:r>
              <w:rPr>
                <w:sz w:val="20"/>
              </w:rPr>
              <w:t xml:space="preserve">, </w:t>
            </w:r>
            <w:hyperlink w:history="0" r:id="rId1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K</w:t>
              </w:r>
            </w:hyperlink>
            <w:r>
              <w:rPr>
                <w:sz w:val="20"/>
              </w:rPr>
              <w:t xml:space="preserve">, </w:t>
            </w:r>
            <w:hyperlink w:history="0" r:id="rId16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L</w:t>
              </w:r>
            </w:hyperlink>
            <w:r>
              <w:rPr>
                <w:sz w:val="20"/>
              </w:rPr>
              <w:t xml:space="preserve">, </w:t>
            </w:r>
            <w:hyperlink w:history="0" r:id="rId16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M</w:t>
              </w:r>
            </w:hyperlink>
            <w:r>
              <w:rPr>
                <w:sz w:val="20"/>
              </w:rPr>
              <w:t xml:space="preserve">, </w:t>
            </w:r>
            <w:hyperlink w:history="0" r:id="rId1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N</w:t>
              </w:r>
            </w:hyperlink>
            <w:r>
              <w:rPr>
                <w:sz w:val="20"/>
              </w:rPr>
              <w:t xml:space="preserve">, </w:t>
            </w:r>
            <w:hyperlink w:history="0" r:id="rId1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O</w:t>
              </w:r>
            </w:hyperlink>
            <w:r>
              <w:rPr>
                <w:sz w:val="20"/>
              </w:rPr>
              <w:t xml:space="preserve">, </w:t>
            </w:r>
            <w:hyperlink w:history="0" r:id="rId1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S</w:t>
              </w:r>
            </w:hyperlink>
            <w:r>
              <w:rPr>
                <w:sz w:val="20"/>
              </w:rPr>
              <w:t xml:space="preserve"> (кроме группы </w:t>
            </w:r>
            <w:hyperlink w:history="0" r:id="rId1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96.04</w:t>
              </w:r>
            </w:hyperlink>
            <w:r>
              <w:rPr>
                <w:sz w:val="20"/>
              </w:rPr>
              <w:t xml:space="preserve">), </w:t>
            </w:r>
            <w:hyperlink w:history="0" r:id="rId1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T</w:t>
              </w:r>
            </w:hyperlink>
            <w:r>
              <w:rPr>
                <w:sz w:val="20"/>
              </w:rPr>
              <w:t xml:space="preserve">, </w:t>
            </w:r>
            <w:hyperlink w:history="0" r:id="rId1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U</w:t>
              </w:r>
            </w:hyperlink>
            <w:r>
              <w:rPr>
                <w:sz w:val="20"/>
              </w:rPr>
              <w:t xml:space="preserve">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4.8. В предшествующем финансовом году и в текущем календарном году в период до даты подачи заявки (нужное отметить любым знаком):</w:t>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имеет установленные факты произошедших на производстве по вине участника отбора тяжелых несчастных случаев;</w:t>
            </w:r>
          </w:p>
        </w:tc>
      </w:tr>
      <w:tr>
        <w:tblPrEx>
          <w:tblBorders>
            <w:insideV w:val="nil"/>
            <w:insideH w:val="single" w:sz="4"/>
          </w:tblBorders>
        </w:tblPrEx>
        <w:tc>
          <w:tcPr>
            <w:tcW w:w="709" w:type="dxa"/>
            <w:tcBorders>
              <w:top w:val="single" w:sz="4"/>
              <w:bottom w:val="single" w:sz="4"/>
            </w:tcBorders>
          </w:tcPr>
          <w:p>
            <w:pPr>
              <w:pStyle w:val="0"/>
            </w:pPr>
            <w:r>
              <w:rPr>
                <w:sz w:val="20"/>
              </w:rPr>
            </w:r>
          </w:p>
        </w:tc>
        <w:tc>
          <w:tcPr>
            <w:gridSpan w:val="4"/>
            <w:tcBorders>
              <w:top w:val="nil"/>
              <w:bottom w:val="nil"/>
            </w:tcBorders>
            <w:vMerge w:val="continue"/>
          </w:tcP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имеет установленные факты произошедших на производстве по вине участника отбора несчастных случаев со смертельным исходом;</w:t>
            </w:r>
          </w:p>
        </w:tc>
      </w:tr>
      <w:tr>
        <w:tblPrEx>
          <w:tblBorders>
            <w:insideV w:val="nil"/>
            <w:insideH w:val="single" w:sz="4"/>
          </w:tblBorders>
        </w:tblPrEx>
        <w:tc>
          <w:tcPr>
            <w:tcW w:w="709" w:type="dxa"/>
            <w:tcBorders>
              <w:top w:val="single" w:sz="4"/>
              <w:bottom w:val="single" w:sz="4"/>
            </w:tcBorders>
          </w:tcPr>
          <w:p>
            <w:pPr>
              <w:pStyle w:val="0"/>
            </w:pPr>
            <w:r>
              <w:rPr>
                <w:sz w:val="20"/>
              </w:rPr>
            </w:r>
          </w:p>
        </w:tc>
        <w:tc>
          <w:tcPr>
            <w:gridSpan w:val="4"/>
            <w:tcBorders>
              <w:top w:val="nil"/>
              <w:bottom w:val="nil"/>
            </w:tcBorders>
            <w:vMerge w:val="continue"/>
          </w:tcP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не имеет установленные факты произошедших на производстве по вине участника отбора тяжелых несчастных случаев;</w:t>
            </w:r>
          </w:p>
        </w:tc>
      </w:tr>
      <w:tr>
        <w:tblPrEx>
          <w:tblBorders>
            <w:insideV w:val="nil"/>
            <w:insideH w:val="single" w:sz="4"/>
          </w:tblBorders>
        </w:tblPrEx>
        <w:tc>
          <w:tcPr>
            <w:tcW w:w="709" w:type="dxa"/>
            <w:tcBorders>
              <w:top w:val="single" w:sz="4"/>
              <w:bottom w:val="single" w:sz="4"/>
            </w:tcBorders>
          </w:tcPr>
          <w:p>
            <w:pPr>
              <w:pStyle w:val="0"/>
            </w:pPr>
            <w:r>
              <w:rPr>
                <w:sz w:val="20"/>
              </w:rPr>
            </w:r>
          </w:p>
        </w:tc>
        <w:tc>
          <w:tcPr>
            <w:gridSpan w:val="4"/>
            <w:tcBorders>
              <w:top w:val="nil"/>
              <w:bottom w:val="nil"/>
            </w:tcBorders>
            <w:vMerge w:val="continue"/>
          </w:tcP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не имеет установленные факты произошедших на производстве по вине участника отбора несчастных случаев со смертельным исходом.</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c>
          <w:tcPr>
            <w:gridSpan w:val="5"/>
            <w:tcW w:w="9043" w:type="dxa"/>
            <w:tcBorders>
              <w:top w:val="nil"/>
              <w:left w:val="nil"/>
              <w:bottom w:val="nil"/>
              <w:right w:val="nil"/>
            </w:tcBorders>
          </w:tcPr>
          <w:p>
            <w:pPr>
              <w:pStyle w:val="0"/>
              <w:ind w:firstLine="283"/>
              <w:jc w:val="both"/>
            </w:pPr>
            <w:r>
              <w:rPr>
                <w:sz w:val="20"/>
              </w:rPr>
              <w:t xml:space="preserve">4.9. В текущем финансовом году аналогичная поддержка, сроки оказания которой не истекли, по состоянию на 1-е число месяца подачи заявки для участия в конкурсе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оказывалась;</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оказывалась.</w:t>
            </w:r>
          </w:p>
        </w:tc>
      </w:tr>
      <w:tr>
        <w:tc>
          <w:tcPr>
            <w:gridSpan w:val="5"/>
            <w:tcW w:w="9043" w:type="dxa"/>
            <w:tcBorders>
              <w:top w:val="nil"/>
              <w:left w:val="nil"/>
              <w:bottom w:val="nil"/>
              <w:right w:val="nil"/>
            </w:tcBorders>
          </w:tcPr>
          <w:p>
            <w:pPr>
              <w:pStyle w:val="0"/>
              <w:ind w:firstLine="283"/>
              <w:jc w:val="both"/>
            </w:pPr>
            <w:r>
              <w:rPr>
                <w:sz w:val="20"/>
              </w:rPr>
              <w:t xml:space="preserve">4.10.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4.11. В перечне организаций и физических лиц, в отношении которых имеются сведения об их причастности к экстремистской деятельности или терроризму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находится;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находится.</w:t>
            </w:r>
          </w:p>
        </w:tc>
      </w:tr>
      <w:tr>
        <w:tc>
          <w:tcPr>
            <w:gridSpan w:val="5"/>
            <w:tcW w:w="9043" w:type="dxa"/>
            <w:tcBorders>
              <w:top w:val="nil"/>
              <w:left w:val="nil"/>
              <w:bottom w:val="nil"/>
              <w:right w:val="nil"/>
            </w:tcBorders>
          </w:tcPr>
          <w:p>
            <w:pPr>
              <w:pStyle w:val="0"/>
              <w:ind w:firstLine="283"/>
              <w:jc w:val="both"/>
            </w:pPr>
            <w:r>
              <w:rPr>
                <w:sz w:val="20"/>
              </w:rPr>
              <w:t xml:space="preserve">4.12. В перечне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составляемом в рамках реализации полномочий, предусмотренных </w:t>
            </w:r>
            <w:hyperlink w:history="0" r:id="rId171"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находится;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находится.</w:t>
            </w:r>
          </w:p>
        </w:tc>
      </w:tr>
      <w:tr>
        <w:tc>
          <w:tcPr>
            <w:gridSpan w:val="5"/>
            <w:tcW w:w="9043" w:type="dxa"/>
            <w:tcBorders>
              <w:top w:val="nil"/>
              <w:left w:val="nil"/>
              <w:bottom w:val="nil"/>
              <w:right w:val="nil"/>
            </w:tcBorders>
          </w:tcPr>
          <w:p>
            <w:pPr>
              <w:pStyle w:val="0"/>
              <w:ind w:firstLine="283"/>
              <w:jc w:val="both"/>
            </w:pPr>
            <w:r>
              <w:rPr>
                <w:sz w:val="20"/>
              </w:rPr>
              <w:t xml:space="preserve">4.13. Средства из бюджета городского округа город Красноярск Красноярского края на основании иных нормативных правовых актов Красноярского края, города Красноярска на цели, установленные Положением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получает;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получает.</w:t>
            </w:r>
          </w:p>
        </w:tc>
      </w:tr>
      <w:tr>
        <w:tc>
          <w:tcPr>
            <w:gridSpan w:val="5"/>
            <w:tcW w:w="9043" w:type="dxa"/>
            <w:tcBorders>
              <w:top w:val="nil"/>
              <w:left w:val="nil"/>
              <w:bottom w:val="nil"/>
              <w:right w:val="nil"/>
            </w:tcBorders>
          </w:tcPr>
          <w:p>
            <w:pPr>
              <w:pStyle w:val="0"/>
              <w:ind w:firstLine="283"/>
              <w:jc w:val="both"/>
            </w:pPr>
            <w:r>
              <w:rPr>
                <w:sz w:val="20"/>
              </w:rPr>
              <w:t xml:space="preserve">4.14. Иностранным агентом в соответствии с Федеральным </w:t>
            </w:r>
            <w:hyperlink w:history="0" r:id="rId172"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4.15. На едином налоговом счете задолженность по уплате налогов, сборов и страховых взносов в бюджеты бюджетной системы Российской Федерации (нужное отметить любым знаком):</w:t>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задолженность превышает размер, определенный </w:t>
            </w:r>
            <w:hyperlink w:history="0" r:id="rId173"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пунктом 3 статьи 47</w:t>
              </w:r>
            </w:hyperlink>
            <w:r>
              <w:rPr>
                <w:sz w:val="20"/>
              </w:rPr>
              <w:t xml:space="preserve"> Налогового кодекса Российской Федерации;</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задолженность не превышает размер, определенный </w:t>
            </w:r>
            <w:hyperlink w:history="0" r:id="rId174"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пунктом 3 статьи 47</w:t>
              </w:r>
            </w:hyperlink>
            <w:r>
              <w:rPr>
                <w:sz w:val="20"/>
              </w:rPr>
              <w:t xml:space="preserve"> Налогового кодекса Российской Федерации;</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отсутствует.</w:t>
            </w:r>
          </w:p>
        </w:tc>
      </w:tr>
      <w:tr>
        <w:tc>
          <w:tcPr>
            <w:gridSpan w:val="5"/>
            <w:tcW w:w="9043" w:type="dxa"/>
            <w:tcBorders>
              <w:top w:val="nil"/>
              <w:left w:val="nil"/>
              <w:bottom w:val="nil"/>
              <w:right w:val="nil"/>
            </w:tcBorders>
          </w:tcPr>
          <w:p>
            <w:pPr>
              <w:pStyle w:val="0"/>
              <w:ind w:firstLine="283"/>
              <w:jc w:val="both"/>
            </w:pPr>
            <w:r>
              <w:rPr>
                <w:sz w:val="20"/>
              </w:rPr>
              <w:t xml:space="preserve">4.16. Просроченная задолженность по возврату в бюджет городского округа город Красноярск Красноярского края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публичном правовым образованием городской округ город Красноярск Красноярского края, за исключением случаев, установленных местной администрацией)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отсутствует.</w:t>
            </w:r>
          </w:p>
        </w:tc>
      </w:tr>
      <w:tr>
        <w:tc>
          <w:tcPr>
            <w:gridSpan w:val="5"/>
            <w:tcW w:w="9043" w:type="dxa"/>
            <w:tcBorders>
              <w:top w:val="nil"/>
              <w:left w:val="nil"/>
              <w:bottom w:val="nil"/>
              <w:right w:val="nil"/>
            </w:tcBorders>
          </w:tcPr>
          <w:p>
            <w:pPr>
              <w:pStyle w:val="0"/>
              <w:ind w:firstLine="283"/>
              <w:jc w:val="both"/>
            </w:pPr>
            <w:r>
              <w:rPr>
                <w:sz w:val="20"/>
              </w:rPr>
              <w:t xml:space="preserve">4.17. Являясь юридическим лицом:</w:t>
            </w:r>
          </w:p>
          <w:p>
            <w:pPr>
              <w:pStyle w:val="0"/>
              <w:ind w:firstLine="283"/>
              <w:jc w:val="both"/>
            </w:pPr>
            <w:r>
              <w:rPr>
                <w:sz w:val="20"/>
              </w:rPr>
              <w:t xml:space="preserve">в процессе реорганизации (за исключением реорганизации в форме присоединения к юридическому лицу (участнику отбора) другого юридического лица), ликвидации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находится;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находится;</w:t>
            </w:r>
          </w:p>
        </w:tc>
      </w:tr>
      <w:tr>
        <w:tc>
          <w:tcPr>
            <w:gridSpan w:val="5"/>
            <w:tcW w:w="9043" w:type="dxa"/>
            <w:tcBorders>
              <w:top w:val="nil"/>
              <w:left w:val="nil"/>
              <w:bottom w:val="nil"/>
              <w:right w:val="nil"/>
            </w:tcBorders>
          </w:tcPr>
          <w:p>
            <w:pPr>
              <w:pStyle w:val="0"/>
              <w:ind w:firstLine="283"/>
              <w:jc w:val="both"/>
            </w:pPr>
            <w:r>
              <w:rPr>
                <w:sz w:val="20"/>
              </w:rPr>
              <w:t xml:space="preserve">процедура банкротства в отношении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введена;</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введена;</w:t>
            </w:r>
          </w:p>
        </w:tc>
      </w:tr>
      <w:tr>
        <w:tc>
          <w:tcPr>
            <w:gridSpan w:val="5"/>
            <w:tcW w:w="9043" w:type="dxa"/>
            <w:tcBorders>
              <w:top w:val="nil"/>
              <w:left w:val="nil"/>
              <w:bottom w:val="nil"/>
              <w:right w:val="nil"/>
            </w:tcBorders>
          </w:tcPr>
          <w:p>
            <w:pPr>
              <w:pStyle w:val="0"/>
              <w:ind w:firstLine="283"/>
              <w:jc w:val="both"/>
            </w:pPr>
            <w:r>
              <w:rPr>
                <w:sz w:val="20"/>
              </w:rPr>
              <w:t xml:space="preserve">деятельность в порядке, предусмотренном законодательством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приостановлена;</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приостановлена.</w:t>
            </w:r>
          </w:p>
        </w:tc>
      </w:tr>
      <w:tr>
        <w:tc>
          <w:tcPr>
            <w:gridSpan w:val="5"/>
            <w:tcW w:w="9043" w:type="dxa"/>
            <w:tcBorders>
              <w:top w:val="nil"/>
              <w:left w:val="nil"/>
              <w:bottom w:val="nil"/>
              <w:right w:val="nil"/>
            </w:tcBorders>
          </w:tcPr>
          <w:p>
            <w:pPr>
              <w:pStyle w:val="0"/>
              <w:ind w:firstLine="283"/>
              <w:jc w:val="both"/>
            </w:pPr>
            <w:r>
              <w:rPr>
                <w:sz w:val="20"/>
              </w:rPr>
              <w:t xml:space="preserve">4.18. Являясь индивидуальным предпринимателем, деятельность в качестве индивидуального предпринимателя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прекратил;</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прекратил.</w:t>
            </w:r>
          </w:p>
        </w:tc>
      </w:tr>
      <w:tr>
        <w:tc>
          <w:tcPr>
            <w:gridSpan w:val="5"/>
            <w:tcW w:w="9043" w:type="dxa"/>
            <w:tcBorders>
              <w:top w:val="nil"/>
              <w:left w:val="nil"/>
              <w:bottom w:val="nil"/>
              <w:right w:val="nil"/>
            </w:tcBorders>
          </w:tcPr>
          <w:p>
            <w:pPr>
              <w:pStyle w:val="0"/>
              <w:ind w:firstLine="283"/>
              <w:jc w:val="both"/>
            </w:pPr>
            <w:r>
              <w:rPr>
                <w:sz w:val="20"/>
              </w:rPr>
              <w:t xml:space="preserve">4.19. В реестре дисквалифицированных лиц сведения о дисквалифицированных:</w:t>
            </w:r>
          </w:p>
          <w:p>
            <w:pPr>
              <w:pStyle w:val="0"/>
              <w:ind w:firstLine="283"/>
              <w:jc w:val="both"/>
            </w:pPr>
            <w:r>
              <w:rPr>
                <w:sz w:val="20"/>
              </w:rPr>
              <w:t xml:space="preserve">руководителе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членах коллегиального исполнительного органа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лице, исполняющем функции единоличного исполнительного органа, или главном бухгалтере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индивидуальном предпринимателе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4.20. Информация о совершенном нарушении порядка и условий оказания поддержки на основании положений </w:t>
            </w:r>
            <w:hyperlink w:history="0" r:id="rId17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пункта 4 части 5 статьи 14</w:t>
              </w:r>
            </w:hyperlink>
            <w:r>
              <w:rPr>
                <w:sz w:val="20"/>
              </w:rPr>
              <w:t xml:space="preserve"> Федерального закона N 209-ФЗ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имеется и сроки действия не истекли;</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имеется, но сроки действия истекли;</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отсутствует.</w:t>
            </w:r>
          </w:p>
        </w:tc>
      </w:tr>
      <w:tr>
        <w:tc>
          <w:tcPr>
            <w:gridSpan w:val="5"/>
            <w:tcW w:w="9043" w:type="dxa"/>
            <w:tcBorders>
              <w:top w:val="nil"/>
              <w:left w:val="nil"/>
              <w:bottom w:val="nil"/>
              <w:right w:val="nil"/>
            </w:tcBorders>
          </w:tcPr>
          <w:p>
            <w:pPr>
              <w:pStyle w:val="0"/>
            </w:pPr>
            <w:r>
              <w:rPr>
                <w:sz w:val="20"/>
              </w:rPr>
            </w:r>
          </w:p>
        </w:tc>
      </w:tr>
      <w:tr>
        <w:tc>
          <w:tcPr>
            <w:gridSpan w:val="5"/>
            <w:tcW w:w="9043" w:type="dxa"/>
            <w:tcBorders>
              <w:top w:val="nil"/>
              <w:left w:val="nil"/>
              <w:bottom w:val="nil"/>
              <w:right w:val="nil"/>
            </w:tcBorders>
          </w:tcPr>
          <w:p>
            <w:pPr>
              <w:pStyle w:val="0"/>
              <w:ind w:firstLine="283"/>
              <w:jc w:val="both"/>
            </w:pPr>
            <w:r>
              <w:rPr>
                <w:sz w:val="20"/>
              </w:rPr>
              <w:t xml:space="preserve">4.21. Ознакомлен с объемом денежных средств, подлежащих возврату, порядком и условиями возврата денежных средств, установленными Положением, а также в случае неподтверждения (отсутствия) достигнутых результатов предоставления субсидии, указанных в </w:t>
            </w:r>
            <w:hyperlink w:history="0" w:anchor="P385"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Положения, в случае нарушения условий предоставления субсидии, установленных </w:t>
            </w:r>
            <w:hyperlink w:history="0" w:anchor="P408" w:tooltip="38. Условиями предоставления субсидии являются принимаемые получателем субсидии следующие обязательства:">
              <w:r>
                <w:rPr>
                  <w:sz w:val="20"/>
                  <w:color w:val="0000ff"/>
                </w:rPr>
                <w:t xml:space="preserve">пунктом 38</w:t>
              </w:r>
            </w:hyperlink>
            <w:r>
              <w:rPr>
                <w:sz w:val="20"/>
              </w:rPr>
              <w:t xml:space="preserve"> Положения, выявленных в том числе по фактам проверок, проведенных главным распорядителем и (или) органом муниципального финансового контроля.</w:t>
            </w:r>
          </w:p>
          <w:p>
            <w:pPr>
              <w:pStyle w:val="0"/>
              <w:ind w:firstLine="283"/>
              <w:jc w:val="both"/>
            </w:pPr>
            <w:r>
              <w:rPr>
                <w:sz w:val="20"/>
              </w:rPr>
              <w:t xml:space="preserve">Размер субсидии прошу установить в соответствии с Положением.</w:t>
            </w:r>
          </w:p>
          <w:p>
            <w:pPr>
              <w:pStyle w:val="0"/>
              <w:ind w:firstLine="283"/>
              <w:jc w:val="both"/>
            </w:pPr>
            <w:r>
              <w:rPr>
                <w:sz w:val="20"/>
              </w:rPr>
              <w:t xml:space="preserve">Полноту и достоверность представленной информации подтверждаю.</w:t>
            </w:r>
          </w:p>
          <w:p>
            <w:pPr>
              <w:pStyle w:val="0"/>
              <w:ind w:firstLine="283"/>
              <w:jc w:val="both"/>
            </w:pPr>
            <w:r>
              <w:rPr>
                <w:sz w:val="20"/>
              </w:rPr>
              <w:t xml:space="preserve">Данное заявление означает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для участия в конкурсе, иной информации об участнике отбора, связанной с конкурсом, на доступ к представляемым документам любых заинтересованных лиц, а также </w:t>
            </w:r>
            <w:hyperlink w:history="0" w:anchor="P965" w:tooltip="                                 СОГЛАСИЕ">
              <w:r>
                <w:rPr>
                  <w:sz w:val="20"/>
                  <w:color w:val="0000ff"/>
                </w:rPr>
                <w:t xml:space="preserve">согласие</w:t>
              </w:r>
            </w:hyperlink>
            <w:r>
              <w:rPr>
                <w:sz w:val="20"/>
              </w:rPr>
              <w:t xml:space="preserve"> на обработку персональных данных (для индивидуальных предпринимателей) (приложение к настоящему заявлению).</w:t>
            </w:r>
          </w:p>
          <w:p>
            <w:pPr>
              <w:pStyle w:val="0"/>
              <w:ind w:firstLine="283"/>
              <w:jc w:val="both"/>
            </w:pPr>
            <w:r>
              <w:rPr>
                <w:sz w:val="20"/>
              </w:rPr>
              <w:t xml:space="preserve">Участник отбора _____________________________ (наименование участника отбора или подпись (И.О. Фамилия) лица, уполномоченного выступать от имени участника отбора).</w:t>
            </w:r>
          </w:p>
          <w:p>
            <w:pPr>
              <w:pStyle w:val="0"/>
            </w:pPr>
            <w:r>
              <w:rPr>
                <w:sz w:val="20"/>
              </w:rPr>
            </w:r>
          </w:p>
          <w:p>
            <w:pPr>
              <w:pStyle w:val="0"/>
            </w:pPr>
            <w:r>
              <w:rPr>
                <w:sz w:val="20"/>
              </w:rPr>
            </w:r>
          </w:p>
          <w:p>
            <w:pPr>
              <w:pStyle w:val="0"/>
            </w:pPr>
            <w:r>
              <w:rPr>
                <w:sz w:val="20"/>
              </w:rPr>
              <w:t xml:space="preserve">М.П. (при наличии)</w:t>
            </w:r>
          </w:p>
          <w:p>
            <w:pPr>
              <w:pStyle w:val="0"/>
            </w:pPr>
            <w:r>
              <w:rPr>
                <w:sz w:val="20"/>
              </w:rPr>
            </w:r>
          </w:p>
          <w:p>
            <w:pPr>
              <w:pStyle w:val="0"/>
            </w:pPr>
            <w:r>
              <w:rPr>
                <w:sz w:val="20"/>
              </w:rPr>
            </w:r>
          </w:p>
        </w:tc>
      </w:tr>
      <w:tr>
        <w:tc>
          <w:tcPr>
            <w:gridSpan w:val="5"/>
            <w:tcW w:w="9043" w:type="dxa"/>
            <w:tcBorders>
              <w:top w:val="nil"/>
              <w:left w:val="nil"/>
              <w:bottom w:val="nil"/>
              <w:right w:val="nil"/>
            </w:tcBorders>
          </w:tcPr>
          <w:p>
            <w:pPr>
              <w:pStyle w:val="0"/>
            </w:pPr>
            <w:r>
              <w:rPr>
                <w:sz w:val="20"/>
              </w:rPr>
              <w:t xml:space="preserve">Главный бухгалтер ________________ __________________________</w:t>
            </w:r>
          </w:p>
        </w:tc>
      </w:tr>
      <w:tr>
        <w:tblPrEx>
          <w:tblBorders>
            <w:insideV w:val="nil"/>
          </w:tblBorders>
        </w:tblPrEx>
        <w:tc>
          <w:tcPr>
            <w:gridSpan w:val="2"/>
            <w:tcW w:w="2073" w:type="dxa"/>
            <w:tcBorders>
              <w:top w:val="nil"/>
              <w:bottom w:val="nil"/>
            </w:tcBorders>
          </w:tcPr>
          <w:p>
            <w:pPr>
              <w:pStyle w:val="0"/>
            </w:pPr>
            <w:r>
              <w:rPr>
                <w:sz w:val="20"/>
              </w:rPr>
            </w:r>
          </w:p>
        </w:tc>
        <w:tc>
          <w:tcPr>
            <w:tcW w:w="1978" w:type="dxa"/>
            <w:tcBorders>
              <w:top w:val="nil"/>
              <w:bottom w:val="nil"/>
            </w:tcBorders>
          </w:tcPr>
          <w:p>
            <w:pPr>
              <w:pStyle w:val="0"/>
              <w:jc w:val="center"/>
            </w:pPr>
            <w:r>
              <w:rPr>
                <w:sz w:val="20"/>
              </w:rPr>
              <w:t xml:space="preserve">(подпись)</w:t>
            </w:r>
          </w:p>
        </w:tc>
        <w:tc>
          <w:tcPr>
            <w:tcW w:w="3103" w:type="dxa"/>
            <w:tcBorders>
              <w:top w:val="nil"/>
              <w:bottom w:val="nil"/>
            </w:tcBorders>
          </w:tcPr>
          <w:p>
            <w:pPr>
              <w:pStyle w:val="0"/>
              <w:jc w:val="center"/>
            </w:pPr>
            <w:r>
              <w:rPr>
                <w:sz w:val="20"/>
              </w:rPr>
              <w:t xml:space="preserve">(И.О. Фамилия)</w:t>
            </w:r>
          </w:p>
        </w:tc>
        <w:tc>
          <w:tcPr>
            <w:tcW w:w="1889" w:type="dxa"/>
            <w:tcBorders>
              <w:top w:val="nil"/>
              <w:bottom w:val="nil"/>
            </w:tcBorders>
          </w:tcPr>
          <w:p>
            <w:pPr>
              <w:pStyle w:val="0"/>
            </w:pPr>
            <w:r>
              <w:rPr>
                <w:sz w:val="20"/>
              </w:rPr>
            </w:r>
          </w:p>
        </w:tc>
      </w:tr>
      <w:tr>
        <w:tc>
          <w:tcPr>
            <w:gridSpan w:val="5"/>
            <w:tcW w:w="9043" w:type="dxa"/>
            <w:tcBorders>
              <w:top w:val="nil"/>
              <w:left w:val="nil"/>
              <w:bottom w:val="nil"/>
              <w:right w:val="nil"/>
            </w:tcBorders>
          </w:tcPr>
          <w:p>
            <w:pPr>
              <w:pStyle w:val="0"/>
            </w:pPr>
            <w:r>
              <w:rPr>
                <w:sz w:val="20"/>
              </w:rPr>
            </w:r>
          </w:p>
          <w:p>
            <w:pPr>
              <w:pStyle w:val="0"/>
            </w:pPr>
            <w:r>
              <w:rPr>
                <w:sz w:val="20"/>
              </w:rPr>
              <w:t xml:space="preserve">Дата _____________</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w:t>
      </w:r>
    </w:p>
    <w:p>
      <w:pPr>
        <w:pStyle w:val="0"/>
        <w:jc w:val="right"/>
      </w:pPr>
      <w:r>
        <w:rPr>
          <w:sz w:val="20"/>
        </w:rPr>
        <w:t xml:space="preserve">к заявлению</w:t>
      </w:r>
    </w:p>
    <w:p>
      <w:pPr>
        <w:pStyle w:val="0"/>
        <w:jc w:val="right"/>
      </w:pPr>
      <w:r>
        <w:rPr>
          <w:sz w:val="20"/>
        </w:rPr>
        <w:t xml:space="preserve">на предоставление субсидии</w:t>
      </w:r>
    </w:p>
    <w:p>
      <w:pPr>
        <w:pStyle w:val="0"/>
        <w:ind w:firstLine="540"/>
        <w:jc w:val="both"/>
      </w:pPr>
      <w:r>
        <w:rPr>
          <w:sz w:val="20"/>
        </w:rPr>
      </w:r>
    </w:p>
    <w:bookmarkStart w:id="965" w:name="P965"/>
    <w:bookmarkEnd w:id="965"/>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(при наличии) субъекта персональных данных)</w:t>
      </w:r>
    </w:p>
    <w:p>
      <w:pPr>
        <w:pStyle w:val="1"/>
        <w:jc w:val="both"/>
      </w:pPr>
      <w:r>
        <w:rPr>
          <w:sz w:val="20"/>
        </w:rPr>
        <w:t xml:space="preserve">являясь  участником  конкурса  на  получение  финансовой  поддержки  в виде</w:t>
      </w:r>
    </w:p>
    <w:p>
      <w:pPr>
        <w:pStyle w:val="1"/>
        <w:jc w:val="both"/>
      </w:pPr>
      <w:r>
        <w:rPr>
          <w:sz w:val="20"/>
        </w:rPr>
        <w:t xml:space="preserve">субсидии  в  целях  возмещения  части  затрат  на реализацию в приоритетных</w:t>
      </w:r>
    </w:p>
    <w:p>
      <w:pPr>
        <w:pStyle w:val="1"/>
        <w:jc w:val="both"/>
      </w:pPr>
      <w:r>
        <w:rPr>
          <w:sz w:val="20"/>
        </w:rPr>
        <w:t xml:space="preserve">отраслях   инвестиционных   проектов  в  сфере  производства,  связанных  с</w:t>
      </w:r>
    </w:p>
    <w:p>
      <w:pPr>
        <w:pStyle w:val="1"/>
        <w:jc w:val="both"/>
      </w:pPr>
      <w:r>
        <w:rPr>
          <w:sz w:val="20"/>
        </w:rPr>
        <w:t xml:space="preserve">созданием  нового  или  развитием (модернизацией) действующего производства</w:t>
      </w:r>
    </w:p>
    <w:p>
      <w:pPr>
        <w:pStyle w:val="1"/>
        <w:jc w:val="both"/>
      </w:pPr>
      <w:r>
        <w:rPr>
          <w:sz w:val="20"/>
        </w:rPr>
        <w:t xml:space="preserve">товаров  (работ, услуг), предоставляемой за счет средств бюджета городского</w:t>
      </w:r>
    </w:p>
    <w:p>
      <w:pPr>
        <w:pStyle w:val="1"/>
        <w:jc w:val="both"/>
      </w:pPr>
      <w:r>
        <w:rPr>
          <w:sz w:val="20"/>
        </w:rPr>
        <w:t xml:space="preserve">округа  город  Красноярск  Красноярского  края  субъектам малого и среднего</w:t>
      </w:r>
    </w:p>
    <w:p>
      <w:pPr>
        <w:pStyle w:val="1"/>
        <w:jc w:val="both"/>
      </w:pPr>
      <w:r>
        <w:rPr>
          <w:sz w:val="20"/>
        </w:rPr>
        <w:t xml:space="preserve">предпринимательства    (далее    -    Участник   отбора),   в  соответствии</w:t>
      </w:r>
    </w:p>
    <w:p>
      <w:pPr>
        <w:pStyle w:val="1"/>
        <w:jc w:val="both"/>
      </w:pPr>
      <w:r>
        <w:rPr>
          <w:sz w:val="20"/>
        </w:rPr>
        <w:t xml:space="preserve">с   </w:t>
      </w:r>
      <w:hyperlink w:history="0" r:id="rId176" w:tooltip="Федеральный закон от 27.07.2006 N 152-ФЗ (ред. от 24.06.2025) &quot;О персональных данных&quot; {КонсультантПлюс}">
        <w:r>
          <w:rPr>
            <w:sz w:val="20"/>
            <w:color w:val="0000ff"/>
          </w:rPr>
          <w:t xml:space="preserve">частью  4  статьи  9</w:t>
        </w:r>
      </w:hyperlink>
      <w:r>
        <w:rPr>
          <w:sz w:val="20"/>
        </w:rPr>
        <w:t xml:space="preserve">  Федерального  закона  от  27.07.2006  N 152-ФЗ "О</w:t>
      </w:r>
    </w:p>
    <w:p>
      <w:pPr>
        <w:pStyle w:val="1"/>
        <w:jc w:val="both"/>
      </w:pPr>
      <w:r>
        <w:rPr>
          <w:sz w:val="20"/>
        </w:rPr>
        <w:t xml:space="preserve">персональных данных", зарегистрированный (ая) по адресу: 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документа, серия, номер, сведения о дате выдачи документа</w:t>
      </w:r>
    </w:p>
    <w:p>
      <w:pPr>
        <w:pStyle w:val="1"/>
        <w:jc w:val="both"/>
      </w:pPr>
      <w:r>
        <w:rPr>
          <w:sz w:val="20"/>
        </w:rPr>
        <w:t xml:space="preserve">   и выдавшем его органе; доверенность от "__" ______ 20__ г. N _______</w:t>
      </w:r>
    </w:p>
    <w:p>
      <w:pPr>
        <w:pStyle w:val="1"/>
        <w:jc w:val="both"/>
      </w:pPr>
      <w:r>
        <w:rPr>
          <w:sz w:val="20"/>
        </w:rPr>
        <w:t xml:space="preserve"> или реквизиты иного документа, подтверждающего полномочия представителя)</w:t>
      </w:r>
    </w:p>
    <w:p>
      <w:pPr>
        <w:pStyle w:val="1"/>
        <w:jc w:val="both"/>
      </w:pPr>
      <w:r>
        <w:rPr>
          <w:sz w:val="20"/>
        </w:rPr>
        <w:t xml:space="preserve">руководствуясь   </w:t>
      </w:r>
      <w:hyperlink w:history="0" r:id="rId177" w:tooltip="Федеральный закон от 27.07.2006 N 152-ФЗ (ред. от 24.06.2025) &quot;О персональных данных&quot; {КонсультантПлюс}">
        <w:r>
          <w:rPr>
            <w:sz w:val="20"/>
            <w:color w:val="0000ff"/>
          </w:rPr>
          <w:t xml:space="preserve">пунктом   1   статьи  8</w:t>
        </w:r>
      </w:hyperlink>
      <w:r>
        <w:rPr>
          <w:sz w:val="20"/>
        </w:rPr>
        <w:t xml:space="preserve">,  </w:t>
      </w:r>
      <w:hyperlink w:history="0" r:id="rId178" w:tooltip="Федеральный закон от 27.07.2006 N 152-ФЗ (ред. от 24.06.2025) &quot;О персональных данных&quot; {КонсультантПлюс}">
        <w:r>
          <w:rPr>
            <w:sz w:val="20"/>
            <w:color w:val="0000ff"/>
          </w:rPr>
          <w:t xml:space="preserve">статьей  9</w:t>
        </w:r>
      </w:hyperlink>
      <w:r>
        <w:rPr>
          <w:sz w:val="20"/>
        </w:rPr>
        <w:t xml:space="preserve">  Федерального  закона</w:t>
      </w:r>
    </w:p>
    <w:p>
      <w:pPr>
        <w:pStyle w:val="1"/>
        <w:jc w:val="both"/>
      </w:pPr>
      <w:r>
        <w:rPr>
          <w:sz w:val="20"/>
        </w:rPr>
        <w:t xml:space="preserve">от  27.07.2006  N 152-ФЗ "О персональных данных", свободно, своей волей и в</w:t>
      </w:r>
    </w:p>
    <w:p>
      <w:pPr>
        <w:pStyle w:val="1"/>
        <w:jc w:val="both"/>
      </w:pPr>
      <w:r>
        <w:rPr>
          <w:sz w:val="20"/>
        </w:rPr>
        <w:t xml:space="preserve">своем    интересе    даю   согласие   администрации   города   Красноярска,</w:t>
      </w:r>
    </w:p>
    <w:p>
      <w:pPr>
        <w:pStyle w:val="1"/>
        <w:jc w:val="both"/>
      </w:pPr>
      <w:r>
        <w:rPr>
          <w:sz w:val="20"/>
        </w:rPr>
        <w:t xml:space="preserve">зарегистрированной  по  адресу: 660049, г. Красноярск, ул. Карла Маркса, 93</w:t>
      </w:r>
    </w:p>
    <w:p>
      <w:pPr>
        <w:pStyle w:val="1"/>
        <w:jc w:val="both"/>
      </w:pPr>
      <w:r>
        <w:rPr>
          <w:sz w:val="20"/>
        </w:rPr>
        <w:t xml:space="preserve">(ИНН  2451000840,  ОГРН  1022402655758) (далее - Оператор), на обработку, в</w:t>
      </w:r>
    </w:p>
    <w:p>
      <w:pPr>
        <w:pStyle w:val="1"/>
        <w:jc w:val="both"/>
      </w:pPr>
      <w:r>
        <w:rPr>
          <w:sz w:val="20"/>
        </w:rPr>
        <w:t xml:space="preserve">том   числе   с   использованием   средств  автоматизации,  следующих  моих</w:t>
      </w:r>
    </w:p>
    <w:p>
      <w:pPr>
        <w:pStyle w:val="1"/>
        <w:jc w:val="both"/>
      </w:pPr>
      <w:r>
        <w:rPr>
          <w:sz w:val="20"/>
        </w:rPr>
        <w:t xml:space="preserve">персональных данных:</w:t>
      </w:r>
    </w:p>
    <w:p>
      <w:pPr>
        <w:pStyle w:val="1"/>
        <w:jc w:val="both"/>
      </w:pPr>
      <w:r>
        <w:rPr>
          <w:sz w:val="20"/>
        </w:rPr>
        <w:t xml:space="preserve">    фамилия, имя, отчество (при наличии), дата и место рождения, контактная</w:t>
      </w:r>
    </w:p>
    <w:p>
      <w:pPr>
        <w:pStyle w:val="1"/>
        <w:jc w:val="both"/>
      </w:pPr>
      <w:r>
        <w:rPr>
          <w:sz w:val="20"/>
        </w:rPr>
        <w:t xml:space="preserve">информация  Участника  отбора  (номер  телефона,  адрес  электронной почты,</w:t>
      </w:r>
    </w:p>
    <w:p>
      <w:pPr>
        <w:pStyle w:val="1"/>
        <w:jc w:val="both"/>
      </w:pPr>
      <w:r>
        <w:rPr>
          <w:sz w:val="20"/>
        </w:rPr>
        <w:t xml:space="preserve">почтовый  адрес),  а  также  реквизиты  документа, удостоверяющего личность</w:t>
      </w:r>
    </w:p>
    <w:p>
      <w:pPr>
        <w:pStyle w:val="1"/>
        <w:jc w:val="both"/>
      </w:pPr>
      <w:r>
        <w:rPr>
          <w:sz w:val="20"/>
        </w:rPr>
        <w:t xml:space="preserve">Участника  отбора,  сведения  о дате выдачи указанного документа и выдавшем</w:t>
      </w:r>
    </w:p>
    <w:p>
      <w:pPr>
        <w:pStyle w:val="1"/>
        <w:jc w:val="both"/>
      </w:pPr>
      <w:r>
        <w:rPr>
          <w:sz w:val="20"/>
        </w:rPr>
        <w:t xml:space="preserve">его органе, индивидуальный номер налогоплательщика, банковские реквизиты;</w:t>
      </w:r>
    </w:p>
    <w:p>
      <w:pPr>
        <w:pStyle w:val="1"/>
        <w:jc w:val="both"/>
      </w:pPr>
      <w:r>
        <w:rPr>
          <w:sz w:val="20"/>
        </w:rPr>
        <w:t xml:space="preserve">    фамилия,  имя, отчество, адрес представителя от имени Участника отбора,</w:t>
      </w:r>
    </w:p>
    <w:p>
      <w:pPr>
        <w:pStyle w:val="1"/>
        <w:jc w:val="both"/>
      </w:pPr>
      <w:r>
        <w:rPr>
          <w:sz w:val="20"/>
        </w:rPr>
        <w:t xml:space="preserve">номер  основного  документа,  удостоверяющего его личность, сведения о дате</w:t>
      </w:r>
    </w:p>
    <w:p>
      <w:pPr>
        <w:pStyle w:val="1"/>
        <w:jc w:val="both"/>
      </w:pPr>
      <w:r>
        <w:rPr>
          <w:sz w:val="20"/>
        </w:rPr>
        <w:t xml:space="preserve">выдачи  указанного  документа и выдавшем его органе, реквизиты доверенности</w:t>
      </w:r>
    </w:p>
    <w:p>
      <w:pPr>
        <w:pStyle w:val="1"/>
        <w:jc w:val="both"/>
      </w:pPr>
      <w:r>
        <w:rPr>
          <w:sz w:val="20"/>
        </w:rPr>
        <w:t xml:space="preserve">или  иного  документа,  подтверждающего полномочия этого представителя (при</w:t>
      </w:r>
    </w:p>
    <w:p>
      <w:pPr>
        <w:pStyle w:val="1"/>
        <w:jc w:val="both"/>
      </w:pPr>
      <w:r>
        <w:rPr>
          <w:sz w:val="20"/>
        </w:rPr>
        <w:t xml:space="preserve">получении согласия от представителя Участника отбора);</w:t>
      </w:r>
    </w:p>
    <w:p>
      <w:pPr>
        <w:pStyle w:val="1"/>
        <w:jc w:val="both"/>
      </w:pPr>
      <w:r>
        <w:rPr>
          <w:sz w:val="20"/>
        </w:rPr>
        <w:t xml:space="preserve">    основной государственный регистрационный номер записи о государственной</w:t>
      </w:r>
    </w:p>
    <w:p>
      <w:pPr>
        <w:pStyle w:val="1"/>
        <w:jc w:val="both"/>
      </w:pPr>
      <w:r>
        <w:rPr>
          <w:sz w:val="20"/>
        </w:rPr>
        <w:t xml:space="preserve">регистрации индивидуального предпринимателя (ОГРНИП);</w:t>
      </w:r>
    </w:p>
    <w:p>
      <w:pPr>
        <w:pStyle w:val="1"/>
        <w:jc w:val="both"/>
      </w:pPr>
      <w:r>
        <w:rPr>
          <w:sz w:val="20"/>
        </w:rPr>
        <w:t xml:space="preserve">    идентификационный номер налогоплательщика (ИНН);</w:t>
      </w:r>
    </w:p>
    <w:p>
      <w:pPr>
        <w:pStyle w:val="1"/>
        <w:jc w:val="both"/>
      </w:pPr>
      <w:r>
        <w:rPr>
          <w:sz w:val="20"/>
        </w:rPr>
        <w:t xml:space="preserve">    сведения о предоставленной поддержке (если имеется);</w:t>
      </w:r>
    </w:p>
    <w:p>
      <w:pPr>
        <w:pStyle w:val="1"/>
        <w:jc w:val="both"/>
      </w:pPr>
      <w:r>
        <w:rPr>
          <w:sz w:val="20"/>
        </w:rPr>
        <w:t xml:space="preserve">    информация о нарушении порядка и условий предоставления поддержки (если</w:t>
      </w:r>
    </w:p>
    <w:p>
      <w:pPr>
        <w:pStyle w:val="1"/>
        <w:jc w:val="both"/>
      </w:pPr>
      <w:r>
        <w:rPr>
          <w:sz w:val="20"/>
        </w:rPr>
        <w:t xml:space="preserve">имеется), в том числе о не целевом использовании средств поддержки;</w:t>
      </w:r>
    </w:p>
    <w:p>
      <w:pPr>
        <w:pStyle w:val="1"/>
        <w:jc w:val="both"/>
      </w:pPr>
      <w:r>
        <w:rPr>
          <w:sz w:val="20"/>
        </w:rPr>
        <w:t xml:space="preserve">    сведения о должности;</w:t>
      </w:r>
    </w:p>
    <w:p>
      <w:pPr>
        <w:pStyle w:val="1"/>
        <w:jc w:val="both"/>
      </w:pPr>
      <w:r>
        <w:rPr>
          <w:sz w:val="20"/>
        </w:rPr>
        <w:t xml:space="preserve">    номер расчетного (текущего) или корреспондентского счета;</w:t>
      </w:r>
    </w:p>
    <w:p>
      <w:pPr>
        <w:pStyle w:val="1"/>
        <w:jc w:val="both"/>
      </w:pPr>
      <w:r>
        <w:rPr>
          <w:sz w:val="20"/>
        </w:rPr>
        <w:t xml:space="preserve">    иные   персональные   данные,   специально   предоставленные  мной  для</w:t>
      </w:r>
    </w:p>
    <w:p>
      <w:pPr>
        <w:pStyle w:val="1"/>
        <w:jc w:val="both"/>
      </w:pPr>
      <w:r>
        <w:rPr>
          <w:sz w:val="20"/>
        </w:rPr>
        <w:t xml:space="preserve">заключения и исполнения соглашения о предоставлении субсидии.</w:t>
      </w:r>
    </w:p>
    <w:p>
      <w:pPr>
        <w:pStyle w:val="1"/>
        <w:jc w:val="both"/>
      </w:pPr>
      <w:r>
        <w:rPr>
          <w:sz w:val="20"/>
        </w:rPr>
        <w:t xml:space="preserve">    Целями обработки моих персональных данных являются:</w:t>
      </w:r>
    </w:p>
    <w:p>
      <w:pPr>
        <w:pStyle w:val="1"/>
        <w:jc w:val="both"/>
      </w:pPr>
      <w:r>
        <w:rPr>
          <w:sz w:val="20"/>
        </w:rPr>
        <w:t xml:space="preserve">    организация  и  проведение  конкурса  по  отбору получателей субсидии -</w:t>
      </w:r>
    </w:p>
    <w:p>
      <w:pPr>
        <w:pStyle w:val="1"/>
        <w:jc w:val="both"/>
      </w:pPr>
      <w:r>
        <w:rPr>
          <w:sz w:val="20"/>
        </w:rPr>
        <w:t xml:space="preserve">субъектов  малого  и  среднего предпринимательства в целях возмещения части</w:t>
      </w:r>
    </w:p>
    <w:p>
      <w:pPr>
        <w:pStyle w:val="1"/>
        <w:jc w:val="both"/>
      </w:pPr>
      <w:r>
        <w:rPr>
          <w:sz w:val="20"/>
        </w:rPr>
        <w:t xml:space="preserve">затрат  на  реализацию  в  приоритетных  отраслях инвестиционных проектов в</w:t>
      </w:r>
    </w:p>
    <w:p>
      <w:pPr>
        <w:pStyle w:val="1"/>
        <w:jc w:val="both"/>
      </w:pPr>
      <w:r>
        <w:rPr>
          <w:sz w:val="20"/>
        </w:rPr>
        <w:t xml:space="preserve">сфере   производства,   связанных   с   созданием   нового   или  развитием</w:t>
      </w:r>
    </w:p>
    <w:p>
      <w:pPr>
        <w:pStyle w:val="1"/>
        <w:jc w:val="both"/>
      </w:pPr>
      <w:r>
        <w:rPr>
          <w:sz w:val="20"/>
        </w:rPr>
        <w:t xml:space="preserve">(модернизацией) действующего производства товаров (работ, услуг);</w:t>
      </w:r>
    </w:p>
    <w:p>
      <w:pPr>
        <w:pStyle w:val="1"/>
        <w:jc w:val="both"/>
      </w:pPr>
      <w:r>
        <w:rPr>
          <w:sz w:val="20"/>
        </w:rPr>
        <w:t xml:space="preserve">    включение в общедоступные источники персональных данных, в том числе:</w:t>
      </w:r>
    </w:p>
    <w:p>
      <w:pPr>
        <w:pStyle w:val="1"/>
        <w:jc w:val="both"/>
      </w:pPr>
      <w:r>
        <w:rPr>
          <w:sz w:val="20"/>
        </w:rPr>
        <w:t xml:space="preserve">    публикация   (размещение)   в  информационно-телекоммуникационной  сети</w:t>
      </w:r>
    </w:p>
    <w:p>
      <w:pPr>
        <w:pStyle w:val="1"/>
        <w:jc w:val="both"/>
      </w:pPr>
      <w:r>
        <w:rPr>
          <w:sz w:val="20"/>
        </w:rPr>
        <w:t xml:space="preserve">Интернет  информации  об  Участнике  отбора, о подаваемой Участником отбора</w:t>
      </w:r>
    </w:p>
    <w:p>
      <w:pPr>
        <w:pStyle w:val="1"/>
        <w:jc w:val="both"/>
      </w:pPr>
      <w:r>
        <w:rPr>
          <w:sz w:val="20"/>
        </w:rPr>
        <w:t xml:space="preserve">заявке,  о  результатах  конкурса,  иной  информации  об  Участнике отбора,</w:t>
      </w:r>
    </w:p>
    <w:p>
      <w:pPr>
        <w:pStyle w:val="1"/>
        <w:jc w:val="both"/>
      </w:pPr>
      <w:r>
        <w:rPr>
          <w:sz w:val="20"/>
        </w:rPr>
        <w:t xml:space="preserve">связанной  с конкурсом, а также в соответствии со </w:t>
      </w:r>
      <w:hyperlink w:history="0" r:id="rId179" w:tooltip="Федеральный закон от 27.07.2006 N 152-ФЗ (ред. от 24.06.2025) &quot;О персональных данных&quot; {КонсультантПлюс}">
        <w:r>
          <w:rPr>
            <w:sz w:val="20"/>
            <w:color w:val="0000ff"/>
          </w:rPr>
          <w:t xml:space="preserve">статьей 10.1</w:t>
        </w:r>
      </w:hyperlink>
      <w:r>
        <w:rPr>
          <w:sz w:val="20"/>
        </w:rPr>
        <w:t xml:space="preserve"> Федерального</w:t>
      </w:r>
    </w:p>
    <w:p>
      <w:pPr>
        <w:pStyle w:val="1"/>
        <w:jc w:val="both"/>
      </w:pPr>
      <w:r>
        <w:rPr>
          <w:sz w:val="20"/>
        </w:rPr>
        <w:t xml:space="preserve">закона  от 27.07.2006 N 152-ФЗ "О персональных данных" передача по открытым</w:t>
      </w:r>
    </w:p>
    <w:p>
      <w:pPr>
        <w:pStyle w:val="1"/>
        <w:jc w:val="both"/>
      </w:pPr>
      <w:r>
        <w:rPr>
          <w:sz w:val="20"/>
        </w:rPr>
        <w:t xml:space="preserve">каналам связи (электронная почта) сведений об Участнике отбора - получателе</w:t>
      </w:r>
    </w:p>
    <w:p>
      <w:pPr>
        <w:pStyle w:val="1"/>
        <w:jc w:val="both"/>
      </w:pPr>
      <w:r>
        <w:rPr>
          <w:sz w:val="20"/>
        </w:rPr>
        <w:t xml:space="preserve">поддержки  в  случае принятия конкурсной комиссией решения о предоставлении</w:t>
      </w:r>
    </w:p>
    <w:p>
      <w:pPr>
        <w:pStyle w:val="1"/>
        <w:jc w:val="both"/>
      </w:pPr>
      <w:r>
        <w:rPr>
          <w:sz w:val="20"/>
        </w:rPr>
        <w:t xml:space="preserve">субсидии;</w:t>
      </w:r>
    </w:p>
    <w:p>
      <w:pPr>
        <w:pStyle w:val="1"/>
        <w:jc w:val="both"/>
      </w:pPr>
      <w:r>
        <w:rPr>
          <w:sz w:val="20"/>
        </w:rPr>
        <w:t xml:space="preserve">    доступ    к   представленным   Участником   отбора   документам   любых</w:t>
      </w:r>
    </w:p>
    <w:p>
      <w:pPr>
        <w:pStyle w:val="1"/>
        <w:jc w:val="both"/>
      </w:pPr>
      <w:r>
        <w:rPr>
          <w:sz w:val="20"/>
        </w:rPr>
        <w:t xml:space="preserve">заинтересованных   лиц,   а  также  в  целях  учета  бюджетных  и  денежных</w:t>
      </w:r>
    </w:p>
    <w:p>
      <w:pPr>
        <w:pStyle w:val="1"/>
        <w:jc w:val="both"/>
      </w:pPr>
      <w:r>
        <w:rPr>
          <w:sz w:val="20"/>
        </w:rPr>
        <w:t xml:space="preserve">обязательств и санкционирования оплаты денежных обязательств.</w:t>
      </w:r>
    </w:p>
    <w:p>
      <w:pPr>
        <w:pStyle w:val="1"/>
        <w:jc w:val="both"/>
      </w:pPr>
      <w:r>
        <w:rPr>
          <w:sz w:val="20"/>
        </w:rPr>
        <w:t xml:space="preserve">    Предоставляю  Оператору  право  осуществлять  все действия (операции) с</w:t>
      </w:r>
    </w:p>
    <w:p>
      <w:pPr>
        <w:pStyle w:val="1"/>
        <w:jc w:val="both"/>
      </w:pPr>
      <w:r>
        <w:rPr>
          <w:sz w:val="20"/>
        </w:rPr>
        <w:t xml:space="preserve">моими    персональными   данными,   то   есть   на   совершение   действий,</w:t>
      </w:r>
    </w:p>
    <w:p>
      <w:pPr>
        <w:pStyle w:val="1"/>
        <w:jc w:val="both"/>
      </w:pPr>
      <w:r>
        <w:rPr>
          <w:sz w:val="20"/>
        </w:rPr>
        <w:t xml:space="preserve">предусмотренных  </w:t>
      </w:r>
      <w:hyperlink w:history="0" r:id="rId180" w:tooltip="Федеральный закон от 27.07.2006 N 152-ФЗ (ред. от 24.06.2025) &quot;О персональных данных&quot; {КонсультантПлюс}">
        <w:r>
          <w:rPr>
            <w:sz w:val="20"/>
            <w:color w:val="0000ff"/>
          </w:rPr>
          <w:t xml:space="preserve">пунктом  3  статьи  3</w:t>
        </w:r>
      </w:hyperlink>
      <w:r>
        <w:rPr>
          <w:sz w:val="20"/>
        </w:rPr>
        <w:t xml:space="preserve">  Федерального  закона  от 27.07.2006</w:t>
      </w:r>
    </w:p>
    <w:p>
      <w:pPr>
        <w:pStyle w:val="1"/>
        <w:jc w:val="both"/>
      </w:pPr>
      <w:r>
        <w:rPr>
          <w:sz w:val="20"/>
        </w:rPr>
        <w:t xml:space="preserve">N  152-ФЗ "О персональных данных", включая: сбор, систематизацию, внесение,</w:t>
      </w:r>
    </w:p>
    <w:p>
      <w:pPr>
        <w:pStyle w:val="1"/>
        <w:jc w:val="both"/>
      </w:pPr>
      <w:r>
        <w:rPr>
          <w:sz w:val="20"/>
        </w:rPr>
        <w:t xml:space="preserve">в том числе в Единый реестр субъектов малого и среднего предпринимательства</w:t>
      </w:r>
    </w:p>
    <w:p>
      <w:pPr>
        <w:pStyle w:val="1"/>
        <w:jc w:val="both"/>
      </w:pPr>
      <w:r>
        <w:rPr>
          <w:sz w:val="20"/>
        </w:rPr>
        <w:t xml:space="preserve">-  получателей  поддержки (</w:t>
      </w:r>
      <w:hyperlink w:history="0" r:id="rId181">
        <w:r>
          <w:rPr>
            <w:sz w:val="20"/>
            <w:color w:val="0000ff"/>
          </w:rPr>
          <w:t xml:space="preserve">https://rmsp-pp.nalog.ru</w:t>
        </w:r>
      </w:hyperlink>
      <w:r>
        <w:rPr>
          <w:sz w:val="20"/>
        </w:rPr>
        <w:t xml:space="preserve">), накопление, хранение,</w:t>
      </w:r>
    </w:p>
    <w:p>
      <w:pPr>
        <w:pStyle w:val="1"/>
        <w:jc w:val="both"/>
      </w:pPr>
      <w:r>
        <w:rPr>
          <w:sz w:val="20"/>
        </w:rPr>
        <w:t xml:space="preserve">уточнение    (обновление,    изменение),    обезличивание,    блокирование,</w:t>
      </w:r>
    </w:p>
    <w:p>
      <w:pPr>
        <w:pStyle w:val="1"/>
        <w:jc w:val="both"/>
      </w:pPr>
      <w:r>
        <w:rPr>
          <w:sz w:val="20"/>
        </w:rPr>
        <w:t xml:space="preserve">уничтожение, использование, передачу по открытым каналам связи (электронная</w:t>
      </w:r>
    </w:p>
    <w:p>
      <w:pPr>
        <w:pStyle w:val="1"/>
        <w:jc w:val="both"/>
      </w:pPr>
      <w:r>
        <w:rPr>
          <w:sz w:val="20"/>
        </w:rPr>
        <w:t xml:space="preserve">почта).</w:t>
      </w:r>
    </w:p>
    <w:p>
      <w:pPr>
        <w:pStyle w:val="1"/>
        <w:jc w:val="both"/>
      </w:pPr>
      <w:r>
        <w:rPr>
          <w:sz w:val="20"/>
        </w:rPr>
        <w:t xml:space="preserve">    В процессе обработки Оператором моих персональных данных я предоставляю</w:t>
      </w:r>
    </w:p>
    <w:p>
      <w:pPr>
        <w:pStyle w:val="1"/>
        <w:jc w:val="both"/>
      </w:pPr>
      <w:r>
        <w:rPr>
          <w:sz w:val="20"/>
        </w:rPr>
        <w:t xml:space="preserve">право  его  работникам  обрабатывать  мои  персональные  данные посредством</w:t>
      </w:r>
    </w:p>
    <w:p>
      <w:pPr>
        <w:pStyle w:val="1"/>
        <w:jc w:val="both"/>
      </w:pPr>
      <w:r>
        <w:rPr>
          <w:sz w:val="20"/>
        </w:rPr>
        <w:t xml:space="preserve">внесения  их  в  электронные  базы  данных,  включения в списки (реестры) и</w:t>
      </w:r>
    </w:p>
    <w:p>
      <w:pPr>
        <w:pStyle w:val="1"/>
        <w:jc w:val="both"/>
      </w:pPr>
      <w:r>
        <w:rPr>
          <w:sz w:val="20"/>
        </w:rPr>
        <w:t xml:space="preserve">отчетные  формы,  предусмотренные  документами,  регламентирующими  порядок</w:t>
      </w:r>
    </w:p>
    <w:p>
      <w:pPr>
        <w:pStyle w:val="1"/>
        <w:jc w:val="both"/>
      </w:pPr>
      <w:r>
        <w:rPr>
          <w:sz w:val="20"/>
        </w:rPr>
        <w:t xml:space="preserve">ведения  и состав данных в учетно-отчетной документации, а также передавать</w:t>
      </w:r>
    </w:p>
    <w:p>
      <w:pPr>
        <w:pStyle w:val="1"/>
        <w:jc w:val="both"/>
      </w:pPr>
      <w:r>
        <w:rPr>
          <w:sz w:val="20"/>
        </w:rPr>
        <w:t xml:space="preserve">мои  персональные  данные  другим  ответственным  лицам Оператора и третьим</w:t>
      </w:r>
    </w:p>
    <w:p>
      <w:pPr>
        <w:pStyle w:val="1"/>
        <w:jc w:val="both"/>
      </w:pPr>
      <w:r>
        <w:rPr>
          <w:sz w:val="20"/>
        </w:rPr>
        <w:t xml:space="preserve">лицам в соответствии с отношениями, установленными руководящими документами</w:t>
      </w:r>
    </w:p>
    <w:p>
      <w:pPr>
        <w:pStyle w:val="1"/>
        <w:jc w:val="both"/>
      </w:pPr>
      <w:r>
        <w:rPr>
          <w:sz w:val="20"/>
        </w:rPr>
        <w:t xml:space="preserve">между Оператором и третьими лицами:</w:t>
      </w:r>
    </w:p>
    <w:p>
      <w:pPr>
        <w:pStyle w:val="1"/>
        <w:jc w:val="both"/>
      </w:pPr>
      <w:r>
        <w:rPr>
          <w:sz w:val="20"/>
        </w:rPr>
        <w:t xml:space="preserve">    прокуратурой   Красноярского   края,   находящейся   по  адресу:  город</w:t>
      </w:r>
    </w:p>
    <w:p>
      <w:pPr>
        <w:pStyle w:val="1"/>
        <w:jc w:val="both"/>
      </w:pPr>
      <w:r>
        <w:rPr>
          <w:sz w:val="20"/>
        </w:rPr>
        <w:t xml:space="preserve">Красноярск, пр-кт Мира, 32;</w:t>
      </w:r>
    </w:p>
    <w:p>
      <w:pPr>
        <w:pStyle w:val="1"/>
        <w:jc w:val="both"/>
      </w:pPr>
      <w:r>
        <w:rPr>
          <w:sz w:val="20"/>
        </w:rPr>
        <w:t xml:space="preserve">    прокуратурами города Красноярска, Железнодорожного района, Октябрьского</w:t>
      </w:r>
    </w:p>
    <w:p>
      <w:pPr>
        <w:pStyle w:val="1"/>
        <w:jc w:val="both"/>
      </w:pPr>
      <w:r>
        <w:rPr>
          <w:sz w:val="20"/>
        </w:rPr>
        <w:t xml:space="preserve">района, находящимися по адресу: город Красноярск, ул. Ладо Кецховели, 18а;</w:t>
      </w:r>
    </w:p>
    <w:p>
      <w:pPr>
        <w:pStyle w:val="1"/>
        <w:jc w:val="both"/>
      </w:pPr>
      <w:r>
        <w:rPr>
          <w:sz w:val="20"/>
        </w:rPr>
        <w:t xml:space="preserve">    прокуратурой   Кировского   района,   находящейся   по   адресу:  город</w:t>
      </w:r>
    </w:p>
    <w:p>
      <w:pPr>
        <w:pStyle w:val="1"/>
        <w:jc w:val="both"/>
      </w:pPr>
      <w:r>
        <w:rPr>
          <w:sz w:val="20"/>
        </w:rPr>
        <w:t xml:space="preserve">Красноярск, пр-кт им. газеты "Красноярский рабочий", 90г;</w:t>
      </w:r>
    </w:p>
    <w:p>
      <w:pPr>
        <w:pStyle w:val="1"/>
        <w:jc w:val="both"/>
      </w:pPr>
      <w:r>
        <w:rPr>
          <w:sz w:val="20"/>
        </w:rPr>
        <w:t xml:space="preserve">    прокуратурой   Ленинского   района,   находящейся   по   адресу:  город</w:t>
      </w:r>
    </w:p>
    <w:p>
      <w:pPr>
        <w:pStyle w:val="1"/>
        <w:jc w:val="both"/>
      </w:pPr>
      <w:r>
        <w:rPr>
          <w:sz w:val="20"/>
        </w:rPr>
        <w:t xml:space="preserve">Красноярск, ул. Юности, 17а;</w:t>
      </w:r>
    </w:p>
    <w:p>
      <w:pPr>
        <w:pStyle w:val="1"/>
        <w:jc w:val="both"/>
      </w:pPr>
      <w:r>
        <w:rPr>
          <w:sz w:val="20"/>
        </w:rPr>
        <w:t xml:space="preserve">    прокуратурой   Свердловского   района,  находящейся  по  адресу:  город</w:t>
      </w:r>
    </w:p>
    <w:p>
      <w:pPr>
        <w:pStyle w:val="1"/>
        <w:jc w:val="both"/>
      </w:pPr>
      <w:r>
        <w:rPr>
          <w:sz w:val="20"/>
        </w:rPr>
        <w:t xml:space="preserve">Красноярск, ул. 60 лет Октября, 73;</w:t>
      </w:r>
    </w:p>
    <w:p>
      <w:pPr>
        <w:pStyle w:val="1"/>
        <w:jc w:val="both"/>
      </w:pPr>
      <w:r>
        <w:rPr>
          <w:sz w:val="20"/>
        </w:rPr>
        <w:t xml:space="preserve">    прокуратурой   Советского   района,   находящейся   по   адресу:  город</w:t>
      </w:r>
    </w:p>
    <w:p>
      <w:pPr>
        <w:pStyle w:val="1"/>
        <w:jc w:val="both"/>
      </w:pPr>
      <w:r>
        <w:rPr>
          <w:sz w:val="20"/>
        </w:rPr>
        <w:t xml:space="preserve">Красноярск, микрорайон Зеленая Роща, ул. Николаева, 3г;</w:t>
      </w:r>
    </w:p>
    <w:p>
      <w:pPr>
        <w:pStyle w:val="1"/>
        <w:jc w:val="both"/>
      </w:pPr>
      <w:r>
        <w:rPr>
          <w:sz w:val="20"/>
        </w:rPr>
        <w:t xml:space="preserve">    прокуратурой   Центрального   района,   находящейся  по  адресу:  город</w:t>
      </w:r>
    </w:p>
    <w:p>
      <w:pPr>
        <w:pStyle w:val="1"/>
        <w:jc w:val="both"/>
      </w:pPr>
      <w:r>
        <w:rPr>
          <w:sz w:val="20"/>
        </w:rPr>
        <w:t xml:space="preserve">Красноярск, ул. Бограда, 65;</w:t>
      </w:r>
    </w:p>
    <w:p>
      <w:pPr>
        <w:pStyle w:val="1"/>
        <w:jc w:val="both"/>
      </w:pPr>
      <w:r>
        <w:rPr>
          <w:sz w:val="20"/>
        </w:rPr>
        <w:t xml:space="preserve">    территориальным  органом  Федеральной налоговой службы по Красноярскому</w:t>
      </w:r>
    </w:p>
    <w:p>
      <w:pPr>
        <w:pStyle w:val="1"/>
        <w:jc w:val="both"/>
      </w:pPr>
      <w:r>
        <w:rPr>
          <w:sz w:val="20"/>
        </w:rPr>
        <w:t xml:space="preserve">краю, находящимся по адресу: город Красноярск, ул. Партизана Железняка, 46;</w:t>
      </w:r>
    </w:p>
    <w:p>
      <w:pPr>
        <w:pStyle w:val="1"/>
        <w:jc w:val="both"/>
      </w:pPr>
      <w:r>
        <w:rPr>
          <w:sz w:val="20"/>
        </w:rPr>
        <w:t xml:space="preserve">    отделом  N  19  Управления  федерального  казначейства по Красноярскому</w:t>
      </w:r>
    </w:p>
    <w:p>
      <w:pPr>
        <w:pStyle w:val="1"/>
        <w:jc w:val="both"/>
      </w:pPr>
      <w:r>
        <w:rPr>
          <w:sz w:val="20"/>
        </w:rPr>
        <w:t xml:space="preserve">краю, находящимся по адресу: город Красноярск, пр-кт Мира, 103;</w:t>
      </w:r>
    </w:p>
    <w:p>
      <w:pPr>
        <w:pStyle w:val="1"/>
        <w:jc w:val="both"/>
      </w:pPr>
      <w:r>
        <w:rPr>
          <w:sz w:val="20"/>
        </w:rPr>
        <w:t xml:space="preserve">    агентством развития малого и среднего предпринимательства Красноярского</w:t>
      </w:r>
    </w:p>
    <w:p>
      <w:pPr>
        <w:pStyle w:val="1"/>
        <w:jc w:val="both"/>
      </w:pPr>
      <w:r>
        <w:rPr>
          <w:sz w:val="20"/>
        </w:rPr>
        <w:t xml:space="preserve">края, находящимся по адресу: город Красноярск, пр-кт Свободный, 75;</w:t>
      </w:r>
    </w:p>
    <w:p>
      <w:pPr>
        <w:pStyle w:val="1"/>
        <w:jc w:val="both"/>
      </w:pPr>
      <w:r>
        <w:rPr>
          <w:sz w:val="20"/>
        </w:rPr>
        <w:t xml:space="preserve">    Красноярским  городским Советом депутатов, находящимся по адресу: город</w:t>
      </w:r>
    </w:p>
    <w:p>
      <w:pPr>
        <w:pStyle w:val="1"/>
        <w:jc w:val="both"/>
      </w:pPr>
      <w:r>
        <w:rPr>
          <w:sz w:val="20"/>
        </w:rPr>
        <w:t xml:space="preserve">Красноярск, ул. Карла Маркса, 93;</w:t>
      </w:r>
    </w:p>
    <w:p>
      <w:pPr>
        <w:pStyle w:val="1"/>
        <w:jc w:val="both"/>
      </w:pPr>
      <w:r>
        <w:rPr>
          <w:sz w:val="20"/>
        </w:rPr>
        <w:t xml:space="preserve">    Контрольно-счетной  палатой  города Красноярска, находящейся по адресу:</w:t>
      </w:r>
    </w:p>
    <w:p>
      <w:pPr>
        <w:pStyle w:val="1"/>
        <w:jc w:val="both"/>
      </w:pPr>
      <w:r>
        <w:rPr>
          <w:sz w:val="20"/>
        </w:rPr>
        <w:t xml:space="preserve">город Красноярск, ул. Сурикова, 6;</w:t>
      </w:r>
    </w:p>
    <w:p>
      <w:pPr>
        <w:pStyle w:val="1"/>
        <w:jc w:val="both"/>
      </w:pPr>
      <w:r>
        <w:rPr>
          <w:sz w:val="20"/>
        </w:rPr>
        <w:t xml:space="preserve">    Межмуниципальным  управлением  Министерства  внутренних  дел Российской</w:t>
      </w:r>
    </w:p>
    <w:p>
      <w:pPr>
        <w:pStyle w:val="1"/>
        <w:jc w:val="both"/>
      </w:pPr>
      <w:r>
        <w:rPr>
          <w:sz w:val="20"/>
        </w:rPr>
        <w:t xml:space="preserve">Федерации  "Красноярское",  находящимся  по  адресу:  город Красноярск, ул.</w:t>
      </w:r>
    </w:p>
    <w:p>
      <w:pPr>
        <w:pStyle w:val="1"/>
        <w:jc w:val="both"/>
      </w:pPr>
      <w:r>
        <w:rPr>
          <w:sz w:val="20"/>
        </w:rPr>
        <w:t xml:space="preserve">Дубровинского, 72.</w:t>
      </w:r>
    </w:p>
    <w:p>
      <w:pPr>
        <w:pStyle w:val="1"/>
        <w:jc w:val="both"/>
      </w:pPr>
      <w:r>
        <w:rPr>
          <w:sz w:val="20"/>
        </w:rPr>
        <w:t xml:space="preserve">    Оператор  имеет право во исполнение своих обязательств в соответствии с</w:t>
      </w:r>
    </w:p>
    <w:p>
      <w:pPr>
        <w:pStyle w:val="1"/>
        <w:jc w:val="both"/>
      </w:pPr>
      <w:r>
        <w:rPr>
          <w:sz w:val="20"/>
        </w:rPr>
        <w:t xml:space="preserve">отношениями,   установленными   руководящими  документами,  осуществлять  с</w:t>
      </w:r>
    </w:p>
    <w:p>
      <w:pPr>
        <w:pStyle w:val="1"/>
        <w:jc w:val="both"/>
      </w:pPr>
      <w:r>
        <w:rPr>
          <w:sz w:val="20"/>
        </w:rPr>
        <w:t xml:space="preserve">третьими  лицами  обмен  (прием  и  передачу) моими персональными данными с</w:t>
      </w:r>
    </w:p>
    <w:p>
      <w:pPr>
        <w:pStyle w:val="1"/>
        <w:jc w:val="both"/>
      </w:pPr>
      <w:r>
        <w:rPr>
          <w:sz w:val="20"/>
        </w:rPr>
        <w:t xml:space="preserve">использованием  машинных  носителей  информации, каналов связи (в том числе</w:t>
      </w:r>
    </w:p>
    <w:p>
      <w:pPr>
        <w:pStyle w:val="1"/>
        <w:jc w:val="both"/>
      </w:pPr>
      <w:r>
        <w:rPr>
          <w:sz w:val="20"/>
        </w:rPr>
        <w:t xml:space="preserve">открытых  и  внутренних)  и  в  виде  бумажных  документов без специального</w:t>
      </w:r>
    </w:p>
    <w:p>
      <w:pPr>
        <w:pStyle w:val="1"/>
        <w:jc w:val="both"/>
      </w:pPr>
      <w:r>
        <w:rPr>
          <w:sz w:val="20"/>
        </w:rPr>
        <w:t xml:space="preserve">уведомления меня об этом.</w:t>
      </w:r>
    </w:p>
    <w:p>
      <w:pPr>
        <w:pStyle w:val="1"/>
        <w:jc w:val="both"/>
      </w:pPr>
      <w:r>
        <w:rPr>
          <w:sz w:val="20"/>
        </w:rPr>
        <w:t xml:space="preserve">    Я ознакомлен (а), что:</w:t>
      </w:r>
    </w:p>
    <w:p>
      <w:pPr>
        <w:pStyle w:val="1"/>
        <w:jc w:val="both"/>
      </w:pPr>
      <w:r>
        <w:rPr>
          <w:sz w:val="20"/>
        </w:rPr>
        <w:t xml:space="preserve">    1)   согласие   на  обработку  персональных  данных  действует  с  даты</w:t>
      </w:r>
    </w:p>
    <w:p>
      <w:pPr>
        <w:pStyle w:val="1"/>
        <w:jc w:val="both"/>
      </w:pPr>
      <w:r>
        <w:rPr>
          <w:sz w:val="20"/>
        </w:rPr>
        <w:t xml:space="preserve">подписания  настоящего согласия в течение всего срока нахождения информации</w:t>
      </w:r>
    </w:p>
    <w:p>
      <w:pPr>
        <w:pStyle w:val="1"/>
        <w:jc w:val="both"/>
      </w:pPr>
      <w:r>
        <w:rPr>
          <w:sz w:val="20"/>
        </w:rPr>
        <w:t xml:space="preserve">о  получателе  поддержки  в  Едином  реестре  субъектов  малого  и среднего</w:t>
      </w:r>
    </w:p>
    <w:p>
      <w:pPr>
        <w:pStyle w:val="1"/>
        <w:jc w:val="both"/>
      </w:pPr>
      <w:r>
        <w:rPr>
          <w:sz w:val="20"/>
        </w:rPr>
        <w:t xml:space="preserve">предпринимательства - получателей поддержки;</w:t>
      </w:r>
    </w:p>
    <w:p>
      <w:pPr>
        <w:pStyle w:val="1"/>
        <w:jc w:val="both"/>
      </w:pPr>
      <w:r>
        <w:rPr>
          <w:sz w:val="20"/>
        </w:rPr>
        <w:t xml:space="preserve">    2)  согласие  на  обработку  персональных данных может быть отозвано на</w:t>
      </w:r>
    </w:p>
    <w:p>
      <w:pPr>
        <w:pStyle w:val="1"/>
        <w:jc w:val="both"/>
      </w:pPr>
      <w:r>
        <w:rPr>
          <w:sz w:val="20"/>
        </w:rPr>
        <w:t xml:space="preserve">основании письменного требования в произвольной форме в любое время;</w:t>
      </w:r>
    </w:p>
    <w:p>
      <w:pPr>
        <w:pStyle w:val="1"/>
        <w:jc w:val="both"/>
      </w:pPr>
      <w:r>
        <w:rPr>
          <w:sz w:val="20"/>
        </w:rPr>
        <w:t xml:space="preserve">    3)  в  случае отзыва согласия на обработку персональных данных Оператор</w:t>
      </w:r>
    </w:p>
    <w:p>
      <w:pPr>
        <w:pStyle w:val="1"/>
        <w:jc w:val="both"/>
      </w:pPr>
      <w:r>
        <w:rPr>
          <w:sz w:val="20"/>
        </w:rPr>
        <w:t xml:space="preserve">вправе  продолжить  обработку  персональных данных без согласия при наличии</w:t>
      </w:r>
    </w:p>
    <w:p>
      <w:pPr>
        <w:pStyle w:val="1"/>
        <w:jc w:val="both"/>
      </w:pPr>
      <w:r>
        <w:rPr>
          <w:sz w:val="20"/>
        </w:rPr>
        <w:t xml:space="preserve">оснований,  указанных в </w:t>
      </w:r>
      <w:hyperlink w:history="0" r:id="rId182" w:tooltip="Федеральный закон от 27.07.2006 N 152-ФЗ (ред. от 24.06.2025) &quot;О персональных данных&quot; {КонсультантПлюс}">
        <w:r>
          <w:rPr>
            <w:sz w:val="20"/>
            <w:color w:val="0000ff"/>
          </w:rPr>
          <w:t xml:space="preserve">пунктах 2</w:t>
        </w:r>
      </w:hyperlink>
      <w:r>
        <w:rPr>
          <w:sz w:val="20"/>
        </w:rPr>
        <w:t xml:space="preserve"> - </w:t>
      </w:r>
      <w:hyperlink w:history="0" r:id="rId183" w:tooltip="Федеральный закон от 27.07.2006 N 152-ФЗ (ред. от 24.06.2025) &quot;О персональных данных&quot; {КонсультантПлюс}">
        <w:r>
          <w:rPr>
            <w:sz w:val="20"/>
            <w:color w:val="0000ff"/>
          </w:rPr>
          <w:t xml:space="preserve">11 части 1 статьи 6</w:t>
        </w:r>
      </w:hyperlink>
      <w:r>
        <w:rPr>
          <w:sz w:val="20"/>
        </w:rPr>
        <w:t xml:space="preserve"> Федерального закона</w:t>
      </w:r>
    </w:p>
    <w:p>
      <w:pPr>
        <w:pStyle w:val="1"/>
        <w:jc w:val="both"/>
      </w:pPr>
      <w:r>
        <w:rPr>
          <w:sz w:val="20"/>
        </w:rPr>
        <w:t xml:space="preserve">от 27.07.2006 N 152-ФЗ "О персональных данных";</w:t>
      </w:r>
    </w:p>
    <w:p>
      <w:pPr>
        <w:pStyle w:val="1"/>
        <w:jc w:val="both"/>
      </w:pPr>
      <w:r>
        <w:rPr>
          <w:sz w:val="20"/>
        </w:rPr>
        <w:t xml:space="preserve">    4)  персональные данные, предоставляемые в отношении третьих лиц, будут</w:t>
      </w:r>
    </w:p>
    <w:p>
      <w:pPr>
        <w:pStyle w:val="1"/>
        <w:jc w:val="both"/>
      </w:pPr>
      <w:r>
        <w:rPr>
          <w:sz w:val="20"/>
        </w:rPr>
        <w:t xml:space="preserve">обрабатываться  только  в  целях  осуществления  и  выполнения  возложенных</w:t>
      </w:r>
    </w:p>
    <w:p>
      <w:pPr>
        <w:pStyle w:val="1"/>
        <w:jc w:val="both"/>
      </w:pPr>
      <w:r>
        <w:rPr>
          <w:sz w:val="20"/>
        </w:rPr>
        <w:t xml:space="preserve">законодательством   Российской   Федерации   на   Оператора   полномочий  и</w:t>
      </w:r>
    </w:p>
    <w:p>
      <w:pPr>
        <w:pStyle w:val="1"/>
        <w:jc w:val="both"/>
      </w:pPr>
      <w:r>
        <w:rPr>
          <w:sz w:val="20"/>
        </w:rPr>
        <w:t xml:space="preserve">обязанностей.</w:t>
      </w:r>
    </w:p>
    <w:p>
      <w:pPr>
        <w:pStyle w:val="1"/>
        <w:jc w:val="both"/>
      </w:pPr>
      <w:r>
        <w:rPr>
          <w:sz w:val="20"/>
        </w:rPr>
        <w:t xml:space="preserve">    Я   оставляю   за   собой  право  отозвать  свое  согласие  посредством</w:t>
      </w:r>
    </w:p>
    <w:p>
      <w:pPr>
        <w:pStyle w:val="1"/>
        <w:jc w:val="both"/>
      </w:pPr>
      <w:r>
        <w:rPr>
          <w:sz w:val="20"/>
        </w:rPr>
        <w:t xml:space="preserve">составления   соответствующего   письменного  требования,  предусмотренного</w:t>
      </w:r>
    </w:p>
    <w:p>
      <w:pPr>
        <w:pStyle w:val="1"/>
        <w:jc w:val="both"/>
      </w:pPr>
      <w:hyperlink w:history="0" r:id="rId184" w:tooltip="Федеральный закон от 27.07.2006 N 152-ФЗ (ред. от 24.06.2025) &quot;О персональных данных&quot; {КонсультантПлюс}">
        <w:r>
          <w:rPr>
            <w:sz w:val="20"/>
            <w:color w:val="0000ff"/>
          </w:rPr>
          <w:t xml:space="preserve">частью  12  статьи  10.1</w:t>
        </w:r>
      </w:hyperlink>
      <w:r>
        <w:rPr>
          <w:sz w:val="20"/>
        </w:rPr>
        <w:t xml:space="preserve">  Федерального  закона  от  27.07.2006  N 152-ФЗ "О</w:t>
      </w:r>
    </w:p>
    <w:p>
      <w:pPr>
        <w:pStyle w:val="1"/>
        <w:jc w:val="both"/>
      </w:pPr>
      <w:r>
        <w:rPr>
          <w:sz w:val="20"/>
        </w:rPr>
        <w:t xml:space="preserve">персональных  данных",  которое  может быть направлено в адрес Оператора по</w:t>
      </w:r>
    </w:p>
    <w:p>
      <w:pPr>
        <w:pStyle w:val="1"/>
        <w:jc w:val="both"/>
      </w:pPr>
      <w:r>
        <w:rPr>
          <w:sz w:val="20"/>
        </w:rPr>
        <w:t xml:space="preserve">почте заказным письмом с уведомлением о вручении.</w:t>
      </w:r>
    </w:p>
    <w:p>
      <w:pPr>
        <w:pStyle w:val="1"/>
        <w:jc w:val="both"/>
      </w:pPr>
      <w:r>
        <w:rPr>
          <w:sz w:val="20"/>
        </w:rPr>
        <w:t xml:space="preserve">    В  случае  получения  моего письменного требования об отзыве настоящего</w:t>
      </w:r>
    </w:p>
    <w:p>
      <w:pPr>
        <w:pStyle w:val="1"/>
        <w:jc w:val="both"/>
      </w:pPr>
      <w:r>
        <w:rPr>
          <w:sz w:val="20"/>
        </w:rPr>
        <w:t xml:space="preserve">согласия на обработку персональных данных Оператор обязан:</w:t>
      </w:r>
    </w:p>
    <w:p>
      <w:pPr>
        <w:pStyle w:val="1"/>
        <w:jc w:val="both"/>
      </w:pPr>
      <w:r>
        <w:rPr>
          <w:sz w:val="20"/>
        </w:rPr>
        <w:t xml:space="preserve">    прекратить  их  обработку  в  течение периода времени, необходимого для</w:t>
      </w:r>
    </w:p>
    <w:p>
      <w:pPr>
        <w:pStyle w:val="1"/>
        <w:jc w:val="both"/>
      </w:pPr>
      <w:r>
        <w:rPr>
          <w:sz w:val="20"/>
        </w:rPr>
        <w:t xml:space="preserve">завершения взаиморасчетов по оплате;</w:t>
      </w:r>
    </w:p>
    <w:p>
      <w:pPr>
        <w:pStyle w:val="1"/>
        <w:jc w:val="both"/>
      </w:pPr>
      <w:r>
        <w:rPr>
          <w:sz w:val="20"/>
        </w:rPr>
        <w:t xml:space="preserve">    по  истечении  указанного  выше срока хранения моих персональных данных</w:t>
      </w:r>
    </w:p>
    <w:p>
      <w:pPr>
        <w:pStyle w:val="1"/>
        <w:jc w:val="both"/>
      </w:pPr>
      <w:r>
        <w:rPr>
          <w:sz w:val="20"/>
        </w:rPr>
        <w:t xml:space="preserve">уничтожить   (стереть)   все   мои   персональные   данные  из  баз  данных</w:t>
      </w:r>
    </w:p>
    <w:p>
      <w:pPr>
        <w:pStyle w:val="1"/>
        <w:jc w:val="both"/>
      </w:pPr>
      <w:r>
        <w:rPr>
          <w:sz w:val="20"/>
        </w:rPr>
        <w:t xml:space="preserve">автоматизированной  информационной  системы Оператора, включая все копии на</w:t>
      </w:r>
    </w:p>
    <w:p>
      <w:pPr>
        <w:pStyle w:val="1"/>
        <w:jc w:val="both"/>
      </w:pPr>
      <w:r>
        <w:rPr>
          <w:sz w:val="20"/>
        </w:rPr>
        <w:t xml:space="preserve">машинных носителях информации, без уведомления меня об этом.</w:t>
      </w:r>
    </w:p>
    <w:p>
      <w:pPr>
        <w:pStyle w:val="1"/>
        <w:jc w:val="both"/>
      </w:pPr>
      <w:r>
        <w:rPr>
          <w:sz w:val="20"/>
        </w:rPr>
      </w:r>
    </w:p>
    <w:p>
      <w:pPr>
        <w:pStyle w:val="1"/>
        <w:jc w:val="both"/>
      </w:pPr>
      <w:r>
        <w:rPr>
          <w:sz w:val="20"/>
        </w:rPr>
      </w:r>
    </w:p>
    <w:p>
      <w:pPr>
        <w:pStyle w:val="1"/>
        <w:jc w:val="both"/>
      </w:pPr>
      <w:r>
        <w:rPr>
          <w:sz w:val="20"/>
        </w:rPr>
        <w:t xml:space="preserve">Дата _____________</w:t>
      </w:r>
    </w:p>
    <w:p>
      <w:pPr>
        <w:pStyle w:val="1"/>
        <w:jc w:val="both"/>
      </w:pPr>
      <w:r>
        <w:rPr>
          <w:sz w:val="20"/>
        </w:rPr>
      </w:r>
    </w:p>
    <w:p>
      <w:pPr>
        <w:pStyle w:val="1"/>
        <w:jc w:val="both"/>
      </w:pPr>
      <w:r>
        <w:rPr>
          <w:sz w:val="20"/>
        </w:rPr>
      </w:r>
    </w:p>
    <w:p>
      <w:pPr>
        <w:pStyle w:val="1"/>
        <w:jc w:val="both"/>
      </w:pPr>
      <w:r>
        <w:rPr>
          <w:sz w:val="20"/>
        </w:rPr>
        <w:t xml:space="preserve">Участник отбора   _________________________________________________________</w:t>
      </w:r>
    </w:p>
    <w:p>
      <w:pPr>
        <w:pStyle w:val="1"/>
        <w:jc w:val="both"/>
      </w:pPr>
      <w:r>
        <w:rPr>
          <w:sz w:val="20"/>
        </w:rPr>
        <w:t xml:space="preserve">                         (наименование участника отбора или подпись</w:t>
      </w:r>
    </w:p>
    <w:p>
      <w:pPr>
        <w:pStyle w:val="1"/>
        <w:jc w:val="both"/>
      </w:pPr>
      <w:r>
        <w:rPr>
          <w:sz w:val="20"/>
        </w:rPr>
        <w:t xml:space="preserve">                           (И.О. Фамилия) лица, уполномоченного</w:t>
      </w:r>
    </w:p>
    <w:p>
      <w:pPr>
        <w:pStyle w:val="1"/>
        <w:jc w:val="both"/>
      </w:pPr>
      <w:r>
        <w:rPr>
          <w:sz w:val="20"/>
        </w:rPr>
        <w:t xml:space="preserve">                           выступать от имени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142" w:name="P1142"/>
    <w:bookmarkEnd w:id="1142"/>
    <w:p>
      <w:pPr>
        <w:pStyle w:val="1"/>
        <w:jc w:val="both"/>
      </w:pPr>
      <w:r>
        <w:rPr>
          <w:sz w:val="20"/>
        </w:rPr>
        <w:t xml:space="preserve">                                 СВЕДЕНИЯ</w:t>
      </w:r>
    </w:p>
    <w:p>
      <w:pPr>
        <w:pStyle w:val="1"/>
        <w:jc w:val="both"/>
      </w:pPr>
      <w:r>
        <w:rPr>
          <w:sz w:val="20"/>
        </w:rPr>
        <w:t xml:space="preserve">        о реализации в приоритетной отрасли инвестиционного проекта</w:t>
      </w:r>
    </w:p>
    <w:p>
      <w:pPr>
        <w:pStyle w:val="1"/>
        <w:jc w:val="both"/>
      </w:pPr>
      <w:r>
        <w:rPr>
          <w:sz w:val="20"/>
        </w:rPr>
        <w:t xml:space="preserve">            в сфере производства, связанного с созданием нового</w:t>
      </w:r>
    </w:p>
    <w:p>
      <w:pPr>
        <w:pStyle w:val="1"/>
        <w:jc w:val="both"/>
      </w:pPr>
      <w:r>
        <w:rPr>
          <w:sz w:val="20"/>
        </w:rPr>
        <w:t xml:space="preserve">          или развитием (модернизацией) действующего производства</w:t>
      </w:r>
    </w:p>
    <w:p>
      <w:pPr>
        <w:pStyle w:val="1"/>
        <w:jc w:val="both"/>
      </w:pPr>
      <w:r>
        <w:rPr>
          <w:sz w:val="20"/>
        </w:rPr>
        <w:t xml:space="preserve">                  товаров (работ, услуг) (далее - Проект)</w:t>
      </w:r>
    </w:p>
    <w:p>
      <w:pPr>
        <w:pStyle w:val="1"/>
        <w:jc w:val="both"/>
      </w:pPr>
      <w:r>
        <w:rPr>
          <w:sz w:val="20"/>
        </w:rPr>
      </w:r>
    </w:p>
    <w:p>
      <w:pPr>
        <w:pStyle w:val="1"/>
        <w:jc w:val="both"/>
      </w:pPr>
      <w:r>
        <w:rPr>
          <w:sz w:val="20"/>
        </w:rPr>
        <w:t xml:space="preserve">    1. Наименование Проекта: 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 Краткое описание Проекта:</w:t>
      </w:r>
    </w:p>
    <w:p>
      <w:pPr>
        <w:pStyle w:val="1"/>
        <w:jc w:val="both"/>
      </w:pPr>
      <w:r>
        <w:rPr>
          <w:sz w:val="20"/>
        </w:rPr>
        <w:t xml:space="preserve">    2.1. Цель Проекта: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2.2. Срок реализации Проекта: ________________________________________.</w:t>
      </w:r>
    </w:p>
    <w:p>
      <w:pPr>
        <w:pStyle w:val="1"/>
        <w:jc w:val="both"/>
      </w:pPr>
      <w:r>
        <w:rPr>
          <w:sz w:val="20"/>
        </w:rPr>
        <w:t xml:space="preserve">    2.3.  Актуальность  и  социальная  значимость  Проекта  (реализуется  в</w:t>
      </w:r>
    </w:p>
    <w:p>
      <w:pPr>
        <w:pStyle w:val="1"/>
        <w:jc w:val="both"/>
      </w:pPr>
      <w:r>
        <w:rPr>
          <w:sz w:val="20"/>
        </w:rPr>
        <w:t xml:space="preserve">приоритетной  для  развития города отрасли, направлен на решение социальных</w:t>
      </w:r>
    </w:p>
    <w:p>
      <w:pPr>
        <w:pStyle w:val="1"/>
        <w:jc w:val="both"/>
      </w:pPr>
      <w:r>
        <w:rPr>
          <w:sz w:val="20"/>
        </w:rPr>
        <w:t xml:space="preserve">проблем города): 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2.4.  Место реализации Проекта и сфера предпринимательской деятельности</w:t>
      </w:r>
    </w:p>
    <w:p>
      <w:pPr>
        <w:pStyle w:val="1"/>
        <w:jc w:val="both"/>
      </w:pPr>
      <w:r>
        <w:rPr>
          <w:sz w:val="20"/>
        </w:rPr>
        <w:t xml:space="preserve">по   Проекту   в   соответствии   с  Общероссийским  </w:t>
      </w:r>
      <w:hyperlink w:history="0" r:id="rId1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классификатором</w:t>
        </w:r>
      </w:hyperlink>
      <w:r>
        <w:rPr>
          <w:sz w:val="20"/>
        </w:rPr>
        <w:t xml:space="preserve">  видов</w:t>
      </w:r>
    </w:p>
    <w:p>
      <w:pPr>
        <w:pStyle w:val="1"/>
        <w:jc w:val="both"/>
      </w:pPr>
      <w:r>
        <w:rPr>
          <w:sz w:val="20"/>
        </w:rPr>
        <w:t xml:space="preserve">экономической деятельности (код и расшифровка): 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2.5.  Описание  Проекта  с  указанием  имеющихся для реализации Проекта</w:t>
      </w:r>
    </w:p>
    <w:p>
      <w:pPr>
        <w:pStyle w:val="1"/>
        <w:jc w:val="both"/>
      </w:pPr>
      <w:r>
        <w:rPr>
          <w:sz w:val="20"/>
        </w:rPr>
        <w:t xml:space="preserve">ресурсов   (имущественных,  информационных,  финансовых);  сезонности  (при</w:t>
      </w:r>
    </w:p>
    <w:p>
      <w:pPr>
        <w:pStyle w:val="1"/>
        <w:jc w:val="both"/>
      </w:pPr>
      <w:r>
        <w:rPr>
          <w:sz w:val="20"/>
        </w:rPr>
        <w:t xml:space="preserve">наличии)  производства  товаров (работ, услуг); мер по обеспечению качества</w:t>
      </w:r>
    </w:p>
    <w:p>
      <w:pPr>
        <w:pStyle w:val="1"/>
        <w:jc w:val="both"/>
      </w:pPr>
      <w:r>
        <w:rPr>
          <w:sz w:val="20"/>
        </w:rPr>
        <w:t xml:space="preserve">товаров  (работ,  услуг) и безопасности применяемого сырья, технологий; мер</w:t>
      </w:r>
    </w:p>
    <w:p>
      <w:pPr>
        <w:pStyle w:val="1"/>
        <w:jc w:val="both"/>
      </w:pPr>
      <w:r>
        <w:rPr>
          <w:sz w:val="20"/>
        </w:rPr>
        <w:t xml:space="preserve">по охране окружающей среды, в том числе утилизации отходов: _______________</w:t>
      </w:r>
    </w:p>
    <w:p>
      <w:pPr>
        <w:pStyle w:val="1"/>
        <w:jc w:val="both"/>
      </w:pPr>
      <w:r>
        <w:rPr>
          <w:sz w:val="20"/>
        </w:rPr>
        <w:t xml:space="preserve">__________________________________________________________________________.</w:t>
      </w:r>
    </w:p>
    <w:p>
      <w:pPr>
        <w:pStyle w:val="1"/>
        <w:jc w:val="both"/>
      </w:pPr>
      <w:r>
        <w:rPr>
          <w:sz w:val="20"/>
        </w:rPr>
        <w:t xml:space="preserve">    2.6. Потребители товаров (работ, услуг) по Проекту: ___________________</w:t>
      </w:r>
    </w:p>
    <w:p>
      <w:pPr>
        <w:pStyle w:val="1"/>
        <w:jc w:val="both"/>
      </w:pPr>
      <w:r>
        <w:rPr>
          <w:sz w:val="20"/>
        </w:rPr>
        <w:t xml:space="preserve">__________________________________________________________________________.</w:t>
      </w:r>
    </w:p>
    <w:p>
      <w:pPr>
        <w:pStyle w:val="1"/>
        <w:jc w:val="both"/>
      </w:pPr>
      <w:r>
        <w:rPr>
          <w:sz w:val="20"/>
        </w:rPr>
        <w:t xml:space="preserve">    2.7.  География продаж (на территории города Красноярска, на территории</w:t>
      </w:r>
    </w:p>
    <w:p>
      <w:pPr>
        <w:pStyle w:val="1"/>
        <w:jc w:val="both"/>
      </w:pPr>
      <w:r>
        <w:rPr>
          <w:sz w:val="20"/>
        </w:rPr>
        <w:t xml:space="preserve">Красноярского  края,  за  пределами  Красноярского  края,  внутренний рынок</w:t>
      </w:r>
    </w:p>
    <w:p>
      <w:pPr>
        <w:pStyle w:val="1"/>
        <w:jc w:val="both"/>
      </w:pPr>
      <w:r>
        <w:rPr>
          <w:sz w:val="20"/>
        </w:rPr>
        <w:t xml:space="preserve">внутри страны, на экспорт): 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2.8.  Анализ  рисков с указанием слабых сторон Проекта (способы закупки</w:t>
      </w:r>
    </w:p>
    <w:p>
      <w:pPr>
        <w:pStyle w:val="1"/>
        <w:jc w:val="both"/>
      </w:pPr>
      <w:r>
        <w:rPr>
          <w:sz w:val="20"/>
        </w:rPr>
        <w:t xml:space="preserve">материальных  ресурсов  с  указанием  влияющих  на  колебание цен факторов:</w:t>
      </w:r>
    </w:p>
    <w:p>
      <w:pPr>
        <w:pStyle w:val="1"/>
        <w:jc w:val="both"/>
      </w:pPr>
      <w:r>
        <w:rPr>
          <w:sz w:val="20"/>
        </w:rPr>
        <w:t xml:space="preserve">сезонность,   отсутствие  (наличие)  постоянных  поставщиков  (подрядчиков,</w:t>
      </w:r>
    </w:p>
    <w:p>
      <w:pPr>
        <w:pStyle w:val="1"/>
        <w:jc w:val="both"/>
      </w:pPr>
      <w:r>
        <w:rPr>
          <w:sz w:val="20"/>
        </w:rPr>
        <w:t xml:space="preserve">исполнителей),   степень   зависимости   от   поставщиков,   иные  факторы,</w:t>
      </w:r>
    </w:p>
    <w:p>
      <w:pPr>
        <w:pStyle w:val="1"/>
        <w:jc w:val="both"/>
      </w:pPr>
      <w:r>
        <w:rPr>
          <w:sz w:val="20"/>
        </w:rPr>
        <w:t xml:space="preserve">отрицательно влияющие на реализацию Проекта): 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Перечень  расходов,  фактически  произведенных участником отбора за</w:t>
      </w:r>
    </w:p>
    <w:p>
      <w:pPr>
        <w:pStyle w:val="1"/>
        <w:jc w:val="both"/>
      </w:pPr>
      <w:r>
        <w:rPr>
          <w:sz w:val="20"/>
        </w:rPr>
        <w:t xml:space="preserve">счет  собственных  и (или) кредитных (заемных) средств, включающий перечень</w:t>
      </w:r>
    </w:p>
    <w:p>
      <w:pPr>
        <w:pStyle w:val="1"/>
        <w:jc w:val="both"/>
      </w:pPr>
      <w:r>
        <w:rPr>
          <w:sz w:val="20"/>
        </w:rPr>
        <w:t xml:space="preserve">приобретенного   оборудования,   его   монтаж   и  пусконаладочные  работы,</w:t>
      </w:r>
    </w:p>
    <w:p>
      <w:pPr>
        <w:pStyle w:val="1"/>
        <w:jc w:val="both"/>
      </w:pPr>
      <w:r>
        <w:rPr>
          <w:sz w:val="20"/>
        </w:rPr>
        <w:t xml:space="preserve">разработку  и  (или)  приобретение  прикладного  программного  обеспечения;</w:t>
      </w:r>
    </w:p>
    <w:p>
      <w:pPr>
        <w:pStyle w:val="1"/>
        <w:jc w:val="both"/>
      </w:pPr>
      <w:r>
        <w:rPr>
          <w:sz w:val="20"/>
        </w:rPr>
        <w:t xml:space="preserve">уплату  процентов  по кредитам на приобретение оборудования; строительство,</w:t>
      </w:r>
    </w:p>
    <w:p>
      <w:pPr>
        <w:pStyle w:val="1"/>
        <w:jc w:val="both"/>
      </w:pPr>
      <w:r>
        <w:rPr>
          <w:sz w:val="20"/>
        </w:rPr>
        <w:t xml:space="preserve">реконструкцию  объектов  капитального  строительства, включая затраты на их</w:t>
      </w:r>
    </w:p>
    <w:p>
      <w:pPr>
        <w:pStyle w:val="1"/>
        <w:jc w:val="both"/>
      </w:pPr>
      <w:r>
        <w:rPr>
          <w:sz w:val="20"/>
        </w:rPr>
        <w:t xml:space="preserve">подключение  к  инженерной  инфраструктуре, иные расходы участника отбора в</w:t>
      </w:r>
    </w:p>
    <w:p>
      <w:pPr>
        <w:pStyle w:val="1"/>
        <w:jc w:val="both"/>
      </w:pPr>
      <w:r>
        <w:rPr>
          <w:sz w:val="20"/>
        </w:rPr>
        <w:t xml:space="preserve">результате реализации Проекта:</w:t>
      </w:r>
    </w:p>
    <w:p>
      <w:pPr>
        <w:pStyle w:val="1"/>
        <w:jc w:val="both"/>
      </w:pPr>
      <w:r>
        <w:rPr>
          <w:sz w:val="20"/>
        </w:rPr>
      </w:r>
    </w:p>
    <w:p>
      <w:pPr>
        <w:pStyle w:val="1"/>
        <w:jc w:val="both"/>
      </w:pPr>
      <w:r>
        <w:rPr>
          <w:sz w:val="20"/>
        </w:rPr>
        <w:t xml:space="preserve">                                 ПЕРЕЧЕНЬ</w:t>
      </w:r>
    </w:p>
    <w:p>
      <w:pPr>
        <w:pStyle w:val="1"/>
        <w:jc w:val="both"/>
      </w:pPr>
      <w:r>
        <w:rPr>
          <w:sz w:val="20"/>
        </w:rPr>
        <w:t xml:space="preserve">                 произведенных участником отбора расходов</w:t>
      </w:r>
    </w:p>
    <w:p>
      <w:pPr>
        <w:pStyle w:val="1"/>
        <w:jc w:val="both"/>
      </w:pPr>
      <w:r>
        <w:rPr>
          <w:sz w:val="20"/>
        </w:rPr>
        <w:t xml:space="preserve">                      в результате реализации Проекта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4"/>
        <w:gridCol w:w="1204"/>
        <w:gridCol w:w="1077"/>
        <w:gridCol w:w="1417"/>
        <w:gridCol w:w="1757"/>
        <w:gridCol w:w="1701"/>
      </w:tblGrid>
      <w:tr>
        <w:tc>
          <w:tcPr>
            <w:tcW w:w="1924" w:type="dxa"/>
          </w:tcPr>
          <w:p>
            <w:pPr>
              <w:pStyle w:val="0"/>
              <w:jc w:val="center"/>
            </w:pPr>
            <w:r>
              <w:rPr>
                <w:sz w:val="20"/>
              </w:rPr>
              <w:t xml:space="preserve">Наименование произведенных расходов</w:t>
            </w:r>
          </w:p>
        </w:tc>
        <w:tc>
          <w:tcPr>
            <w:tcW w:w="1204" w:type="dxa"/>
          </w:tcPr>
          <w:p>
            <w:pPr>
              <w:pStyle w:val="0"/>
              <w:jc w:val="center"/>
            </w:pPr>
            <w:r>
              <w:rPr>
                <w:sz w:val="20"/>
              </w:rPr>
              <w:t xml:space="preserve">Единица измерения</w:t>
            </w:r>
          </w:p>
        </w:tc>
        <w:tc>
          <w:tcPr>
            <w:tcW w:w="1077" w:type="dxa"/>
          </w:tcPr>
          <w:p>
            <w:pPr>
              <w:pStyle w:val="0"/>
              <w:jc w:val="center"/>
            </w:pPr>
            <w:hyperlink w:history="0" r:id="rId1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p>
        </w:tc>
        <w:tc>
          <w:tcPr>
            <w:tcW w:w="1417" w:type="dxa"/>
          </w:tcPr>
          <w:p>
            <w:pPr>
              <w:pStyle w:val="0"/>
              <w:jc w:val="center"/>
            </w:pPr>
            <w:r>
              <w:rPr>
                <w:sz w:val="20"/>
              </w:rPr>
              <w:t xml:space="preserve">Количество</w:t>
            </w:r>
          </w:p>
        </w:tc>
        <w:tc>
          <w:tcPr>
            <w:tcW w:w="1757" w:type="dxa"/>
          </w:tcPr>
          <w:p>
            <w:pPr>
              <w:pStyle w:val="0"/>
              <w:jc w:val="center"/>
            </w:pPr>
            <w:r>
              <w:rPr>
                <w:sz w:val="20"/>
              </w:rPr>
              <w:t xml:space="preserve">Сумма расходов, понесенных участником отбора за счет собственных и (или) кредитных (заемных) средств, руб.</w:t>
            </w:r>
          </w:p>
        </w:tc>
        <w:tc>
          <w:tcPr>
            <w:tcW w:w="1701" w:type="dxa"/>
          </w:tcPr>
          <w:p>
            <w:pPr>
              <w:pStyle w:val="0"/>
              <w:jc w:val="center"/>
            </w:pPr>
            <w:r>
              <w:rPr>
                <w:sz w:val="20"/>
              </w:rPr>
              <w:t xml:space="preserve">Из графы 5 сумма, планируемая к возмещению (в случае получения субсидии), руб.</w:t>
            </w:r>
          </w:p>
        </w:tc>
      </w:tr>
      <w:tr>
        <w:tc>
          <w:tcPr>
            <w:tcW w:w="1924" w:type="dxa"/>
          </w:tcPr>
          <w:p>
            <w:pPr>
              <w:pStyle w:val="0"/>
              <w:jc w:val="center"/>
            </w:pPr>
            <w:r>
              <w:rPr>
                <w:sz w:val="20"/>
              </w:rPr>
              <w:t xml:space="preserve">1</w:t>
            </w:r>
          </w:p>
        </w:tc>
        <w:tc>
          <w:tcPr>
            <w:tcW w:w="1204" w:type="dxa"/>
          </w:tcPr>
          <w:p>
            <w:pPr>
              <w:pStyle w:val="0"/>
              <w:jc w:val="center"/>
            </w:pPr>
            <w:r>
              <w:rPr>
                <w:sz w:val="20"/>
              </w:rPr>
              <w:t xml:space="preserve">2</w:t>
            </w:r>
          </w:p>
        </w:tc>
        <w:tc>
          <w:tcPr>
            <w:tcW w:w="1077" w:type="dxa"/>
          </w:tcPr>
          <w:p>
            <w:pPr>
              <w:pStyle w:val="0"/>
              <w:jc w:val="center"/>
            </w:pPr>
            <w:r>
              <w:rPr>
                <w:sz w:val="20"/>
              </w:rPr>
              <w:t xml:space="preserve">3</w:t>
            </w:r>
          </w:p>
        </w:tc>
        <w:tc>
          <w:tcPr>
            <w:tcW w:w="1417" w:type="dxa"/>
          </w:tcPr>
          <w:p>
            <w:pPr>
              <w:pStyle w:val="0"/>
              <w:jc w:val="center"/>
            </w:pPr>
            <w:r>
              <w:rPr>
                <w:sz w:val="20"/>
              </w:rPr>
              <w:t xml:space="preserve">4</w:t>
            </w:r>
          </w:p>
        </w:tc>
        <w:tc>
          <w:tcPr>
            <w:tcW w:w="1757" w:type="dxa"/>
          </w:tcPr>
          <w:p>
            <w:pPr>
              <w:pStyle w:val="0"/>
              <w:jc w:val="center"/>
            </w:pPr>
            <w:r>
              <w:rPr>
                <w:sz w:val="20"/>
              </w:rPr>
              <w:t xml:space="preserve">5</w:t>
            </w:r>
          </w:p>
        </w:tc>
        <w:tc>
          <w:tcPr>
            <w:tcW w:w="1701" w:type="dxa"/>
          </w:tcPr>
          <w:p>
            <w:pPr>
              <w:pStyle w:val="0"/>
              <w:jc w:val="center"/>
            </w:pPr>
            <w:r>
              <w:rPr>
                <w:sz w:val="20"/>
              </w:rPr>
              <w:t xml:space="preserve">6</w:t>
            </w:r>
          </w:p>
        </w:tc>
      </w:tr>
      <w:tr>
        <w:tc>
          <w:tcPr>
            <w:tcW w:w="1924" w:type="dxa"/>
          </w:tcPr>
          <w:p>
            <w:pPr>
              <w:pStyle w:val="0"/>
            </w:pPr>
            <w:r>
              <w:rPr>
                <w:sz w:val="20"/>
              </w:rPr>
              <w:t xml:space="preserve">1. Приобретение оборудования, его монтаж и пусконаладочные работы:</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1.1. Оборудование:</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1.1.1...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1.2. Разработка и (или) приобретение прикладного программного обеспечения:</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1.2.1...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2. Уплата процентов по кредитам на приобретение оборудования:</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2.1...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3. Строительство, реконструкция объектов капитального строительства, включая затраты на их подключение к инженерной инфраструктуре:</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3.1...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4. Иные направления расходов в ходе реализации Проекта:</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4.1...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Итого:</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bl>
    <w:p>
      <w:pPr>
        <w:pStyle w:val="0"/>
        <w:ind w:firstLine="540"/>
        <w:jc w:val="both"/>
      </w:pPr>
      <w:r>
        <w:rPr>
          <w:sz w:val="20"/>
        </w:rPr>
      </w:r>
    </w:p>
    <w:p>
      <w:pPr>
        <w:pStyle w:val="1"/>
        <w:jc w:val="both"/>
      </w:pPr>
      <w:r>
        <w:rPr>
          <w:sz w:val="20"/>
        </w:rPr>
        <w:t xml:space="preserve">    4.  Обоснование  необходимости  произведенных  в  результате реализации</w:t>
      </w:r>
    </w:p>
    <w:p>
      <w:pPr>
        <w:pStyle w:val="1"/>
        <w:jc w:val="both"/>
      </w:pPr>
      <w:r>
        <w:rPr>
          <w:sz w:val="20"/>
        </w:rPr>
        <w:t xml:space="preserve">Проекта  расходов  по  направлениям,  определенным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Положения о</w:t>
      </w:r>
    </w:p>
    <w:p>
      <w:pPr>
        <w:pStyle w:val="1"/>
        <w:jc w:val="both"/>
      </w:pPr>
      <w:r>
        <w:rPr>
          <w:sz w:val="20"/>
        </w:rPr>
        <w:t xml:space="preserve">порядке    предоставления    субсидий    субъектам    малого   и   среднего</w:t>
      </w:r>
    </w:p>
    <w:p>
      <w:pPr>
        <w:pStyle w:val="1"/>
        <w:jc w:val="both"/>
      </w:pPr>
      <w:r>
        <w:rPr>
          <w:sz w:val="20"/>
        </w:rPr>
        <w:t xml:space="preserve">предпринимательства   -   производителям  товаров,  работ,  услуг  в  целях</w:t>
      </w:r>
    </w:p>
    <w:p>
      <w:pPr>
        <w:pStyle w:val="1"/>
        <w:jc w:val="both"/>
      </w:pPr>
      <w:r>
        <w:rPr>
          <w:sz w:val="20"/>
        </w:rPr>
        <w:t xml:space="preserve">возмещения   части   затрат   на   реализацию   в   приоритетных   отраслях</w:t>
      </w:r>
    </w:p>
    <w:p>
      <w:pPr>
        <w:pStyle w:val="1"/>
        <w:jc w:val="both"/>
      </w:pPr>
      <w:r>
        <w:rPr>
          <w:sz w:val="20"/>
        </w:rPr>
        <w:t xml:space="preserve">инвестиционных  проектов в сфере производства, связанных с созданием нового</w:t>
      </w:r>
    </w:p>
    <w:p>
      <w:pPr>
        <w:pStyle w:val="1"/>
        <w:jc w:val="both"/>
      </w:pPr>
      <w:r>
        <w:rPr>
          <w:sz w:val="20"/>
        </w:rPr>
        <w:t xml:space="preserve">или  развитием  (модернизацией)  действующего  производства товаров (работ,</w:t>
      </w:r>
    </w:p>
    <w:p>
      <w:pPr>
        <w:pStyle w:val="1"/>
        <w:jc w:val="both"/>
      </w:pPr>
      <w:r>
        <w:rPr>
          <w:sz w:val="20"/>
        </w:rPr>
        <w:t xml:space="preserve">услуг), на:</w:t>
      </w:r>
    </w:p>
    <w:p>
      <w:pPr>
        <w:pStyle w:val="1"/>
        <w:jc w:val="both"/>
      </w:pPr>
      <w:r>
        <w:rPr>
          <w:sz w:val="20"/>
        </w:rPr>
        <w:t xml:space="preserve">    приобретение   оборудования,   его  монтаж  и  пусконаладочные  работы,</w:t>
      </w:r>
    </w:p>
    <w:p>
      <w:pPr>
        <w:pStyle w:val="1"/>
        <w:jc w:val="both"/>
      </w:pPr>
      <w:r>
        <w:rPr>
          <w:sz w:val="20"/>
        </w:rPr>
        <w:t xml:space="preserve">разработку  и  (или)  приобретение  прикладного  программного  обеспечения,</w:t>
      </w:r>
    </w:p>
    <w:p>
      <w:pPr>
        <w:pStyle w:val="1"/>
        <w:jc w:val="both"/>
      </w:pPr>
      <w:r>
        <w:rPr>
          <w:sz w:val="20"/>
        </w:rPr>
        <w:t xml:space="preserve">обеспечивающего функционирование приобретаемого оборудования;</w:t>
      </w:r>
    </w:p>
    <w:p>
      <w:pPr>
        <w:pStyle w:val="1"/>
        <w:jc w:val="both"/>
      </w:pPr>
      <w:r>
        <w:rPr>
          <w:sz w:val="20"/>
        </w:rPr>
        <w:t xml:space="preserve">    уплату процентов по кредитам на приобретение оборудования, необходимого</w:t>
      </w:r>
    </w:p>
    <w:p>
      <w:pPr>
        <w:pStyle w:val="1"/>
        <w:jc w:val="both"/>
      </w:pPr>
      <w:r>
        <w:rPr>
          <w:sz w:val="20"/>
        </w:rPr>
        <w:t xml:space="preserve">для осуществления предпринимательской деятельности;</w:t>
      </w:r>
    </w:p>
    <w:p>
      <w:pPr>
        <w:pStyle w:val="1"/>
        <w:jc w:val="both"/>
      </w:pPr>
      <w:r>
        <w:rPr>
          <w:sz w:val="20"/>
        </w:rPr>
        <w:t xml:space="preserve">    строительство,   реконструкцию   объектов  капитального  строительства,</w:t>
      </w:r>
    </w:p>
    <w:p>
      <w:pPr>
        <w:pStyle w:val="1"/>
        <w:jc w:val="both"/>
      </w:pPr>
      <w:r>
        <w:rPr>
          <w:sz w:val="20"/>
        </w:rPr>
        <w:t xml:space="preserve">включая затраты на их подключение к инженерной инфраструктуре.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bookmarkStart w:id="1300" w:name="P1300"/>
    <w:bookmarkEnd w:id="1300"/>
    <w:p>
      <w:pPr>
        <w:pStyle w:val="1"/>
        <w:jc w:val="both"/>
      </w:pPr>
      <w:r>
        <w:rPr>
          <w:sz w:val="20"/>
        </w:rPr>
        <w:t xml:space="preserve">    5.  Денежные  средства  по  реализации  Проекта,  всего  (</w:t>
      </w:r>
      <w:hyperlink w:history="0" w:anchor="P1302" w:tooltip="    5.1. Собственные средства, рублей: ___________________________________.">
        <w:r>
          <w:rPr>
            <w:sz w:val="20"/>
            <w:color w:val="0000ff"/>
          </w:rPr>
          <w:t xml:space="preserve">пункт  5.1</w:t>
        </w:r>
      </w:hyperlink>
      <w:r>
        <w:rPr>
          <w:sz w:val="20"/>
        </w:rPr>
        <w:t xml:space="preserve">  +</w:t>
      </w:r>
    </w:p>
    <w:p>
      <w:pPr>
        <w:pStyle w:val="1"/>
        <w:jc w:val="both"/>
      </w:pPr>
      <w:hyperlink w:history="0" w:anchor="P1303" w:tooltip="    5.2.  Кредитные (заемные) средства на условиях платности и возвратности">
        <w:r>
          <w:rPr>
            <w:sz w:val="20"/>
            <w:color w:val="0000ff"/>
          </w:rPr>
          <w:t xml:space="preserve">пункт 5.2</w:t>
        </w:r>
      </w:hyperlink>
      <w:r>
        <w:rPr>
          <w:sz w:val="20"/>
        </w:rPr>
        <w:t xml:space="preserve">), в том числе по источникам, рублей: ____________________________</w:t>
      </w:r>
    </w:p>
    <w:bookmarkStart w:id="1302" w:name="P1302"/>
    <w:bookmarkEnd w:id="1302"/>
    <w:p>
      <w:pPr>
        <w:pStyle w:val="1"/>
        <w:jc w:val="both"/>
      </w:pPr>
      <w:r>
        <w:rPr>
          <w:sz w:val="20"/>
        </w:rPr>
        <w:t xml:space="preserve">    5.1. Собственные средства, рублей: ___________________________________.</w:t>
      </w:r>
    </w:p>
    <w:bookmarkStart w:id="1303" w:name="P1303"/>
    <w:bookmarkEnd w:id="1303"/>
    <w:p>
      <w:pPr>
        <w:pStyle w:val="1"/>
        <w:jc w:val="both"/>
      </w:pPr>
      <w:r>
        <w:rPr>
          <w:sz w:val="20"/>
        </w:rPr>
        <w:t xml:space="preserve">    5.2.  Кредитные (заемные) средства на условиях платности и возвратности</w:t>
      </w:r>
    </w:p>
    <w:p>
      <w:pPr>
        <w:pStyle w:val="1"/>
        <w:jc w:val="both"/>
      </w:pPr>
      <w:r>
        <w:rPr>
          <w:sz w:val="20"/>
        </w:rPr>
        <w:t xml:space="preserve">(с  указанием  условий  использования  (предоставления):  срок  в  месяцах,</w:t>
      </w:r>
    </w:p>
    <w:p>
      <w:pPr>
        <w:pStyle w:val="1"/>
        <w:jc w:val="both"/>
      </w:pPr>
      <w:r>
        <w:rPr>
          <w:sz w:val="20"/>
        </w:rPr>
        <w:t xml:space="preserve">процентная ставка), рублей: 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6.  Показатели  по  годам  реализации  Проекта,  характеризующие: объем</w:t>
      </w:r>
    </w:p>
    <w:p>
      <w:pPr>
        <w:pStyle w:val="1"/>
        <w:jc w:val="both"/>
      </w:pPr>
      <w:r>
        <w:rPr>
          <w:sz w:val="20"/>
        </w:rPr>
        <w:t xml:space="preserve">производства  товаров  (работ,  услуг)  в  стоимостном  выражении; доход от</w:t>
      </w:r>
    </w:p>
    <w:p>
      <w:pPr>
        <w:pStyle w:val="1"/>
        <w:jc w:val="both"/>
      </w:pPr>
      <w:r>
        <w:rPr>
          <w:sz w:val="20"/>
        </w:rPr>
        <w:t xml:space="preserve">производства  и  реализации товаров (работ, услуг) в стоимостном выражении;</w:t>
      </w:r>
    </w:p>
    <w:p>
      <w:pPr>
        <w:pStyle w:val="1"/>
        <w:jc w:val="both"/>
      </w:pPr>
      <w:r>
        <w:rPr>
          <w:sz w:val="20"/>
        </w:rPr>
        <w:t xml:space="preserve">среднесписочную  численность  работников;  прирост  количества рабочих мест</w:t>
      </w:r>
    </w:p>
    <w:p>
      <w:pPr>
        <w:pStyle w:val="1"/>
        <w:jc w:val="both"/>
      </w:pPr>
      <w:r>
        <w:rPr>
          <w:sz w:val="20"/>
        </w:rPr>
        <w:t xml:space="preserve">(включая  индивидуальных предпринимателей); прирост количества рабочих мест</w:t>
      </w:r>
    </w:p>
    <w:p>
      <w:pPr>
        <w:pStyle w:val="1"/>
        <w:jc w:val="both"/>
      </w:pPr>
      <w:r>
        <w:rPr>
          <w:sz w:val="20"/>
        </w:rPr>
        <w:t xml:space="preserve">в  результате  реализации  Проекта;  величина  средней  заработной  платы в</w:t>
      </w:r>
    </w:p>
    <w:p>
      <w:pPr>
        <w:pStyle w:val="1"/>
        <w:jc w:val="both"/>
      </w:pPr>
      <w:r>
        <w:rPr>
          <w:sz w:val="20"/>
        </w:rPr>
        <w:t xml:space="preserve">расчете  на  одного  работника (без внешних совместителей); прирост средней</w:t>
      </w:r>
    </w:p>
    <w:p>
      <w:pPr>
        <w:pStyle w:val="1"/>
        <w:jc w:val="both"/>
      </w:pPr>
      <w:r>
        <w:rPr>
          <w:sz w:val="20"/>
        </w:rPr>
        <w:t xml:space="preserve">заработной платы в расчете на одного работника (без внешних совместителей);</w:t>
      </w:r>
    </w:p>
    <w:p>
      <w:pPr>
        <w:pStyle w:val="1"/>
        <w:jc w:val="both"/>
      </w:pPr>
      <w:r>
        <w:rPr>
          <w:sz w:val="20"/>
        </w:rPr>
        <w:t xml:space="preserve">объем   инвестиций,   привлекаемых  в  результате  реализации  Проекта  (за</w:t>
      </w:r>
    </w:p>
    <w:p>
      <w:pPr>
        <w:pStyle w:val="1"/>
        <w:jc w:val="both"/>
      </w:pPr>
      <w:r>
        <w:rPr>
          <w:sz w:val="20"/>
        </w:rPr>
        <w:t xml:space="preserve">исключением   субсидий   и   грантов   (включая   субсидии   на  возмещение</w:t>
      </w:r>
    </w:p>
    <w:p>
      <w:pPr>
        <w:pStyle w:val="1"/>
        <w:jc w:val="both"/>
      </w:pPr>
      <w:r>
        <w:rPr>
          <w:sz w:val="20"/>
        </w:rPr>
        <w:t xml:space="preserve">недополученных   доходов),   привлекаемых   из   бюджетов   всех  уровней),</w:t>
      </w:r>
    </w:p>
    <w:p>
      <w:pPr>
        <w:pStyle w:val="1"/>
        <w:jc w:val="both"/>
      </w:pPr>
      <w:r>
        <w:rPr>
          <w:sz w:val="20"/>
        </w:rPr>
        <w:t xml:space="preserve">представлены в </w:t>
      </w:r>
      <w:hyperlink w:history="0" w:anchor="P1346" w:tooltip="ПОКАЗАТЕЛИ">
        <w:r>
          <w:rPr>
            <w:sz w:val="20"/>
            <w:color w:val="0000ff"/>
          </w:rPr>
          <w:t xml:space="preserve">приложении</w:t>
        </w:r>
      </w:hyperlink>
      <w:r>
        <w:rPr>
          <w:sz w:val="20"/>
        </w:rPr>
        <w:t xml:space="preserve"> к настоящим сведениям о реализации Проекта.</w:t>
      </w:r>
    </w:p>
    <w:p>
      <w:pPr>
        <w:pStyle w:val="1"/>
        <w:jc w:val="both"/>
      </w:pPr>
      <w:r>
        <w:rPr>
          <w:sz w:val="20"/>
        </w:rPr>
      </w:r>
    </w:p>
    <w:p>
      <w:pPr>
        <w:pStyle w:val="1"/>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w:t>
      </w:r>
    </w:p>
    <w:p>
      <w:pPr>
        <w:pStyle w:val="0"/>
        <w:jc w:val="right"/>
      </w:pPr>
      <w:r>
        <w:rPr>
          <w:sz w:val="20"/>
        </w:rPr>
        <w:t xml:space="preserve">к сведениям</w:t>
      </w:r>
    </w:p>
    <w:p>
      <w:pPr>
        <w:pStyle w:val="0"/>
        <w:jc w:val="right"/>
      </w:pPr>
      <w:r>
        <w:rPr>
          <w:sz w:val="20"/>
        </w:rPr>
        <w:t xml:space="preserve">о реализации Проекта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346" w:name="P1346"/>
    <w:bookmarkEnd w:id="1346"/>
    <w:p>
      <w:pPr>
        <w:pStyle w:val="0"/>
        <w:jc w:val="center"/>
      </w:pPr>
      <w:r>
        <w:rPr>
          <w:sz w:val="20"/>
        </w:rPr>
        <w:t xml:space="preserve">ПОКАЗАТЕЛИ</w:t>
      </w:r>
    </w:p>
    <w:p>
      <w:pPr>
        <w:pStyle w:val="0"/>
        <w:jc w:val="center"/>
      </w:pPr>
      <w:r>
        <w:rPr>
          <w:sz w:val="20"/>
        </w:rPr>
        <w:t xml:space="preserve">реализации в приоритетной отрасли инвестиционного проекта</w:t>
      </w:r>
    </w:p>
    <w:p>
      <w:pPr>
        <w:pStyle w:val="0"/>
        <w:jc w:val="center"/>
      </w:pPr>
      <w:r>
        <w:rPr>
          <w:sz w:val="20"/>
        </w:rPr>
        <w:t xml:space="preserve">в сфере производства, связанного с созданием нового</w:t>
      </w:r>
    </w:p>
    <w:p>
      <w:pPr>
        <w:pStyle w:val="0"/>
        <w:jc w:val="center"/>
      </w:pPr>
      <w:r>
        <w:rPr>
          <w:sz w:val="20"/>
        </w:rPr>
        <w:t xml:space="preserve">или развитием (модернизацией) действующего производства</w:t>
      </w:r>
    </w:p>
    <w:p>
      <w:pPr>
        <w:pStyle w:val="0"/>
        <w:jc w:val="center"/>
      </w:pPr>
      <w:r>
        <w:rPr>
          <w:sz w:val="20"/>
        </w:rPr>
        <w:t xml:space="preserve">товаров (работ, услуг) (далее - Проект)</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239"/>
        <w:gridCol w:w="1924"/>
        <w:gridCol w:w="1924"/>
        <w:gridCol w:w="1234"/>
        <w:gridCol w:w="1234"/>
        <w:gridCol w:w="1234"/>
        <w:gridCol w:w="1294"/>
      </w:tblGrid>
      <w:tr>
        <w:tc>
          <w:tcPr>
            <w:tcW w:w="454" w:type="dxa"/>
            <w:vMerge w:val="restart"/>
          </w:tcPr>
          <w:p>
            <w:pPr>
              <w:pStyle w:val="0"/>
              <w:jc w:val="center"/>
            </w:pPr>
            <w:r>
              <w:rPr>
                <w:sz w:val="20"/>
              </w:rPr>
              <w:t xml:space="preserve">N п/п</w:t>
            </w:r>
          </w:p>
        </w:tc>
        <w:tc>
          <w:tcPr>
            <w:tcW w:w="2239" w:type="dxa"/>
            <w:vMerge w:val="restart"/>
          </w:tcPr>
          <w:p>
            <w:pPr>
              <w:pStyle w:val="0"/>
              <w:jc w:val="center"/>
            </w:pPr>
            <w:r>
              <w:rPr>
                <w:sz w:val="20"/>
              </w:rPr>
              <w:t xml:space="preserve">Наименование</w:t>
            </w:r>
          </w:p>
        </w:tc>
        <w:tc>
          <w:tcPr>
            <w:gridSpan w:val="6"/>
            <w:tcW w:w="8844" w:type="dxa"/>
          </w:tcPr>
          <w:p>
            <w:pPr>
              <w:pStyle w:val="0"/>
              <w:jc w:val="center"/>
            </w:pPr>
            <w:r>
              <w:rPr>
                <w:sz w:val="20"/>
              </w:rPr>
              <w:t xml:space="preserve">Значение в результате реализации Проекта по периодам:</w:t>
            </w:r>
          </w:p>
        </w:tc>
      </w:tr>
      <w:tr>
        <w:tc>
          <w:tcPr>
            <w:vMerge w:val="continue"/>
          </w:tcPr>
          <w:p/>
        </w:tc>
        <w:tc>
          <w:tcPr>
            <w:vMerge w:val="continue"/>
          </w:tcPr>
          <w:p/>
        </w:tc>
        <w:tc>
          <w:tcPr>
            <w:tcW w:w="1924" w:type="dxa"/>
          </w:tcPr>
          <w:p>
            <w:pPr>
              <w:pStyle w:val="0"/>
              <w:jc w:val="center"/>
            </w:pPr>
            <w:r>
              <w:rPr>
                <w:sz w:val="20"/>
              </w:rPr>
              <w:t xml:space="preserve">2-й год, предшествующий году подачи заявки (факт)</w:t>
            </w:r>
          </w:p>
        </w:tc>
        <w:tc>
          <w:tcPr>
            <w:tcW w:w="1924" w:type="dxa"/>
          </w:tcPr>
          <w:p>
            <w:pPr>
              <w:pStyle w:val="0"/>
              <w:jc w:val="center"/>
            </w:pPr>
            <w:r>
              <w:rPr>
                <w:sz w:val="20"/>
              </w:rPr>
              <w:t xml:space="preserve">1-й год, предшествующий году подачи заявки (факт)</w:t>
            </w:r>
          </w:p>
        </w:tc>
        <w:tc>
          <w:tcPr>
            <w:tcW w:w="1234" w:type="dxa"/>
          </w:tcPr>
          <w:p>
            <w:pPr>
              <w:pStyle w:val="0"/>
              <w:jc w:val="center"/>
            </w:pPr>
            <w:r>
              <w:rPr>
                <w:sz w:val="20"/>
              </w:rPr>
              <w:t xml:space="preserve">по состоянию на начало года подачи заявки (факт с учетом значений граф 3, 4)</w:t>
            </w:r>
          </w:p>
        </w:tc>
        <w:tc>
          <w:tcPr>
            <w:tcW w:w="1234" w:type="dxa"/>
          </w:tcPr>
          <w:p>
            <w:pPr>
              <w:pStyle w:val="0"/>
              <w:jc w:val="center"/>
            </w:pPr>
            <w:r>
              <w:rPr>
                <w:sz w:val="20"/>
              </w:rPr>
              <w:t xml:space="preserve">текущий год до даты подачи заявки по состоянию на 1-е число месяца подачи заявки (факт)</w:t>
            </w:r>
          </w:p>
        </w:tc>
        <w:tc>
          <w:tcPr>
            <w:tcW w:w="1234" w:type="dxa"/>
          </w:tcPr>
          <w:p>
            <w:pPr>
              <w:pStyle w:val="0"/>
              <w:jc w:val="center"/>
            </w:pPr>
            <w:r>
              <w:rPr>
                <w:sz w:val="20"/>
              </w:rPr>
              <w:t xml:space="preserve">по состоянию на конец года подачи заявки (план)</w:t>
            </w:r>
          </w:p>
        </w:tc>
        <w:tc>
          <w:tcPr>
            <w:tcW w:w="1294" w:type="dxa"/>
          </w:tcPr>
          <w:p>
            <w:pPr>
              <w:pStyle w:val="0"/>
              <w:jc w:val="center"/>
            </w:pPr>
            <w:r>
              <w:rPr>
                <w:sz w:val="20"/>
              </w:rPr>
              <w:t xml:space="preserve">год, следующий за годом подачи заявки (план)</w:t>
            </w:r>
          </w:p>
        </w:tc>
      </w:tr>
      <w:tr>
        <w:tc>
          <w:tcPr>
            <w:tcW w:w="454" w:type="dxa"/>
          </w:tcPr>
          <w:p>
            <w:pPr>
              <w:pStyle w:val="0"/>
              <w:jc w:val="center"/>
            </w:pPr>
            <w:r>
              <w:rPr>
                <w:sz w:val="20"/>
              </w:rPr>
              <w:t xml:space="preserve">1</w:t>
            </w:r>
          </w:p>
        </w:tc>
        <w:tc>
          <w:tcPr>
            <w:tcW w:w="2239" w:type="dxa"/>
          </w:tcPr>
          <w:p>
            <w:pPr>
              <w:pStyle w:val="0"/>
              <w:jc w:val="center"/>
            </w:pPr>
            <w:r>
              <w:rPr>
                <w:sz w:val="20"/>
              </w:rPr>
              <w:t xml:space="preserve">2</w:t>
            </w:r>
          </w:p>
        </w:tc>
        <w:tc>
          <w:tcPr>
            <w:tcW w:w="1924" w:type="dxa"/>
          </w:tcPr>
          <w:p>
            <w:pPr>
              <w:pStyle w:val="0"/>
              <w:jc w:val="center"/>
            </w:pPr>
            <w:r>
              <w:rPr>
                <w:sz w:val="20"/>
              </w:rPr>
              <w:t xml:space="preserve">3 = n - 2</w:t>
            </w:r>
          </w:p>
        </w:tc>
        <w:tc>
          <w:tcPr>
            <w:tcW w:w="1924" w:type="dxa"/>
          </w:tcPr>
          <w:p>
            <w:pPr>
              <w:pStyle w:val="0"/>
              <w:jc w:val="center"/>
            </w:pPr>
            <w:r>
              <w:rPr>
                <w:sz w:val="20"/>
              </w:rPr>
              <w:t xml:space="preserve">4 = n - 1</w:t>
            </w:r>
          </w:p>
        </w:tc>
        <w:tc>
          <w:tcPr>
            <w:tcW w:w="1234" w:type="dxa"/>
          </w:tcPr>
          <w:p>
            <w:pPr>
              <w:pStyle w:val="0"/>
              <w:jc w:val="center"/>
            </w:pPr>
            <w:r>
              <w:rPr>
                <w:sz w:val="20"/>
              </w:rPr>
              <w:t xml:space="preserve">5</w:t>
            </w:r>
          </w:p>
        </w:tc>
        <w:tc>
          <w:tcPr>
            <w:tcW w:w="1234" w:type="dxa"/>
          </w:tcPr>
          <w:p>
            <w:pPr>
              <w:pStyle w:val="0"/>
              <w:jc w:val="center"/>
            </w:pPr>
            <w:r>
              <w:rPr>
                <w:sz w:val="20"/>
              </w:rPr>
              <w:t xml:space="preserve">6 = n</w:t>
            </w:r>
          </w:p>
        </w:tc>
        <w:tc>
          <w:tcPr>
            <w:tcW w:w="1234" w:type="dxa"/>
          </w:tcPr>
          <w:p>
            <w:pPr>
              <w:pStyle w:val="0"/>
              <w:jc w:val="center"/>
            </w:pPr>
            <w:r>
              <w:rPr>
                <w:sz w:val="20"/>
              </w:rPr>
              <w:t xml:space="preserve">7</w:t>
            </w:r>
          </w:p>
        </w:tc>
        <w:tc>
          <w:tcPr>
            <w:tcW w:w="1294" w:type="dxa"/>
          </w:tcPr>
          <w:p>
            <w:pPr>
              <w:pStyle w:val="0"/>
              <w:jc w:val="center"/>
            </w:pPr>
            <w:r>
              <w:rPr>
                <w:sz w:val="20"/>
              </w:rPr>
              <w:t xml:space="preserve">8 = n + 1</w:t>
            </w:r>
          </w:p>
        </w:tc>
      </w:tr>
      <w:tr>
        <w:tc>
          <w:tcPr>
            <w:tcW w:w="454" w:type="dxa"/>
            <w:vMerge w:val="restart"/>
          </w:tcPr>
          <w:p>
            <w:pPr>
              <w:pStyle w:val="0"/>
            </w:pPr>
            <w:r>
              <w:rPr>
                <w:sz w:val="20"/>
              </w:rPr>
              <w:t xml:space="preserve">1</w:t>
            </w:r>
          </w:p>
        </w:tc>
        <w:tc>
          <w:tcPr>
            <w:tcW w:w="2239" w:type="dxa"/>
          </w:tcPr>
          <w:p>
            <w:pPr>
              <w:pStyle w:val="0"/>
            </w:pPr>
            <w:r>
              <w:rPr>
                <w:sz w:val="20"/>
              </w:rPr>
              <w:t xml:space="preserve">Денежные поступления, тыс. руб.</w:t>
            </w:r>
          </w:p>
          <w:p>
            <w:pPr>
              <w:pStyle w:val="0"/>
            </w:pPr>
            <w:r>
              <w:rPr>
                <w:sz w:val="20"/>
              </w:rPr>
              <w:t xml:space="preserve">(строка 1.1 + строка 1.2):</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pPr>
            <w:r>
              <w:rPr>
                <w:sz w:val="20"/>
              </w:rPr>
              <w:t xml:space="preserve">1.1</w:t>
            </w:r>
          </w:p>
        </w:tc>
        <w:tc>
          <w:tcPr>
            <w:tcW w:w="2239" w:type="dxa"/>
          </w:tcPr>
          <w:p>
            <w:pPr>
              <w:pStyle w:val="0"/>
            </w:pPr>
            <w:r>
              <w:rPr>
                <w:sz w:val="20"/>
              </w:rPr>
              <w:t xml:space="preserve">Доход от производства и реализации товаров, работ, услуг (без НДС),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1.2</w:t>
            </w:r>
          </w:p>
        </w:tc>
        <w:tc>
          <w:tcPr>
            <w:tcW w:w="2239" w:type="dxa"/>
          </w:tcPr>
          <w:p>
            <w:pPr>
              <w:pStyle w:val="0"/>
            </w:pPr>
            <w:r>
              <w:rPr>
                <w:sz w:val="20"/>
              </w:rPr>
              <w:t xml:space="preserve">Иные денежные поступления, связанные с реализацией Проекта, тыс. руб. (а + 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а)</w:t>
            </w:r>
          </w:p>
        </w:tc>
        <w:tc>
          <w:tcPr>
            <w:tcW w:w="2239" w:type="dxa"/>
          </w:tcPr>
          <w:p>
            <w:pPr>
              <w:pStyle w:val="0"/>
            </w:pPr>
            <w:r>
              <w:rPr>
                <w:sz w:val="20"/>
              </w:rPr>
              <w:t xml:space="preserve">кредит (заем)</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б)</w:t>
            </w:r>
          </w:p>
        </w:tc>
        <w:tc>
          <w:tcPr>
            <w:tcW w:w="2239" w:type="dxa"/>
          </w:tcPr>
          <w:p>
            <w:pPr>
              <w:pStyle w:val="0"/>
            </w:pPr>
            <w:r>
              <w:rPr>
                <w:sz w:val="20"/>
              </w:rPr>
              <w:t xml:space="preserve">прочие денежные поступления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w:t>
            </w:r>
          </w:p>
        </w:tc>
        <w:tc>
          <w:tcPr>
            <w:tcW w:w="2239" w:type="dxa"/>
          </w:tcPr>
          <w:p>
            <w:pPr>
              <w:pStyle w:val="0"/>
            </w:pPr>
            <w:r>
              <w:rPr>
                <w:sz w:val="20"/>
              </w:rPr>
              <w:t xml:space="preserve">Денежные выплаты, в том числе:</w:t>
            </w:r>
          </w:p>
          <w:p>
            <w:pPr>
              <w:pStyle w:val="0"/>
            </w:pPr>
            <w:r>
              <w:rPr>
                <w:sz w:val="20"/>
              </w:rPr>
              <w:t xml:space="preserve">(строка 2.1 + строка 2.2),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2.1</w:t>
            </w:r>
          </w:p>
        </w:tc>
        <w:tc>
          <w:tcPr>
            <w:tcW w:w="2239" w:type="dxa"/>
          </w:tcPr>
          <w:p>
            <w:pPr>
              <w:pStyle w:val="0"/>
            </w:pPr>
            <w:r>
              <w:rPr>
                <w:sz w:val="20"/>
              </w:rPr>
              <w:t xml:space="preserve">Выплаты, связанные с производством и реализацией товаров, работ, услуг (а + б + в + 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а)</w:t>
            </w:r>
          </w:p>
        </w:tc>
        <w:tc>
          <w:tcPr>
            <w:tcW w:w="2239" w:type="dxa"/>
          </w:tcPr>
          <w:p>
            <w:pPr>
              <w:pStyle w:val="0"/>
            </w:pPr>
            <w:r>
              <w:rPr>
                <w:sz w:val="20"/>
              </w:rPr>
              <w:t xml:space="preserve">оплата труда работников (включая индивидуальных предпринимателей)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б)</w:t>
            </w:r>
          </w:p>
        </w:tc>
        <w:tc>
          <w:tcPr>
            <w:tcW w:w="2239" w:type="dxa"/>
          </w:tcPr>
          <w:p>
            <w:pPr>
              <w:pStyle w:val="0"/>
            </w:pPr>
            <w:r>
              <w:rPr>
                <w:sz w:val="20"/>
              </w:rPr>
              <w:t xml:space="preserve">уплата страховых взносов, выплата работникам пособий по временной нетрудоспособности и платежей (взносов) по договорам добровольного личного страхования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в)</w:t>
            </w:r>
          </w:p>
        </w:tc>
        <w:tc>
          <w:tcPr>
            <w:tcW w:w="2239" w:type="dxa"/>
          </w:tcPr>
          <w:p>
            <w:pPr>
              <w:pStyle w:val="0"/>
            </w:pPr>
            <w:r>
              <w:rPr>
                <w:sz w:val="20"/>
              </w:rPr>
              <w:t xml:space="preserve">приобретение сырья, материалов</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г)</w:t>
            </w:r>
          </w:p>
        </w:tc>
        <w:tc>
          <w:tcPr>
            <w:tcW w:w="2239" w:type="dxa"/>
          </w:tcPr>
          <w:p>
            <w:pPr>
              <w:pStyle w:val="0"/>
            </w:pPr>
            <w:r>
              <w:rPr>
                <w:sz w:val="20"/>
              </w:rPr>
              <w:t xml:space="preserve">прочие выплаты (расходы)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2.2</w:t>
            </w:r>
          </w:p>
        </w:tc>
        <w:tc>
          <w:tcPr>
            <w:tcW w:w="2239" w:type="dxa"/>
          </w:tcPr>
          <w:p>
            <w:pPr>
              <w:pStyle w:val="0"/>
            </w:pPr>
            <w:r>
              <w:rPr>
                <w:sz w:val="20"/>
              </w:rPr>
              <w:t xml:space="preserve">Уплата налогов и сборов,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pPr>
            <w:r>
              <w:rPr>
                <w:sz w:val="20"/>
              </w:rPr>
              <w:t xml:space="preserve">3</w:t>
            </w:r>
          </w:p>
        </w:tc>
        <w:tc>
          <w:tcPr>
            <w:tcW w:w="2239" w:type="dxa"/>
          </w:tcPr>
          <w:p>
            <w:pPr>
              <w:pStyle w:val="0"/>
            </w:pPr>
            <w:r>
              <w:rPr>
                <w:sz w:val="20"/>
              </w:rPr>
              <w:t xml:space="preserve">Объем производства продукции (товаров, работ, услуг),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4</w:t>
            </w:r>
          </w:p>
        </w:tc>
        <w:tc>
          <w:tcPr>
            <w:tcW w:w="2239" w:type="dxa"/>
          </w:tcPr>
          <w:p>
            <w:pPr>
              <w:pStyle w:val="0"/>
            </w:pPr>
            <w:r>
              <w:rPr>
                <w:sz w:val="20"/>
              </w:rPr>
              <w:t xml:space="preserve">Среднесписочная численность работников (включая индивидуальных предпринимателей) за период,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pPr>
            <w:r>
              <w:rPr>
                <w:sz w:val="20"/>
              </w:rPr>
              <w:t xml:space="preserve">5</w:t>
            </w:r>
          </w:p>
        </w:tc>
        <w:tc>
          <w:tcPr>
            <w:tcW w:w="2239" w:type="dxa"/>
          </w:tcPr>
          <w:p>
            <w:pPr>
              <w:pStyle w:val="0"/>
            </w:pPr>
            <w:r>
              <w:rPr>
                <w:sz w:val="20"/>
              </w:rPr>
              <w:t xml:space="preserve">Численность работников (без внешних совместителей) на начало года,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прирост численности работников,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6</w:t>
            </w:r>
          </w:p>
        </w:tc>
        <w:tc>
          <w:tcPr>
            <w:tcW w:w="2239" w:type="dxa"/>
          </w:tcPr>
          <w:p>
            <w:pPr>
              <w:pStyle w:val="0"/>
            </w:pPr>
            <w:r>
              <w:rPr>
                <w:sz w:val="20"/>
              </w:rPr>
              <w:t xml:space="preserve">Среднемесячная заработная плата работников в расчете на одного работника (без внешних совместителей),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7</w:t>
            </w:r>
          </w:p>
        </w:tc>
        <w:tc>
          <w:tcPr>
            <w:tcW w:w="2239" w:type="dxa"/>
          </w:tcPr>
          <w:p>
            <w:pPr>
              <w:pStyle w:val="0"/>
            </w:pPr>
            <w:r>
              <w:rPr>
                <w:sz w:val="20"/>
              </w:rPr>
              <w:t xml:space="preserve">Отношение значения в строке 6 к величине МРОТ, ед. </w:t>
            </w:r>
            <w:hyperlink w:history="0" w:anchor="P1604" w:tooltip="&lt;**&gt; значения по строке 7 определяются в соответствии с подпунктом 9 пункта 21 Положения.">
              <w:r>
                <w:rPr>
                  <w:sz w:val="20"/>
                  <w:color w:val="0000ff"/>
                </w:rPr>
                <w:t xml:space="preserve">&lt;**&gt;</w:t>
              </w:r>
            </w:hyperlink>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w:t>
            </w:r>
          </w:p>
        </w:tc>
        <w:tc>
          <w:tcPr>
            <w:tcW w:w="2239" w:type="dxa"/>
          </w:tcPr>
          <w:p>
            <w:pPr>
              <w:pStyle w:val="0"/>
            </w:pPr>
            <w:r>
              <w:rPr>
                <w:sz w:val="20"/>
              </w:rPr>
              <w:t xml:space="preserve">Объем привлекаемых инвестиций (за исключением субсидий (грантов), субсидий на возмещение недополученных доходов, привлекаемых из бюджетов всех уровней), тыс. руб., направленных в том числе на:</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8.1</w:t>
            </w:r>
          </w:p>
        </w:tc>
        <w:tc>
          <w:tcPr>
            <w:tcW w:w="2239" w:type="dxa"/>
          </w:tcPr>
          <w:p>
            <w:pPr>
              <w:pStyle w:val="0"/>
            </w:pPr>
            <w:r>
              <w:rPr>
                <w:sz w:val="20"/>
              </w:rPr>
              <w:t xml:space="preserve">приобретение оборудования, его монтаж и пусконаладочные работы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8.2</w:t>
            </w:r>
          </w:p>
        </w:tc>
        <w:tc>
          <w:tcPr>
            <w:tcW w:w="2239" w:type="dxa"/>
          </w:tcPr>
          <w:p>
            <w:pPr>
              <w:pStyle w:val="0"/>
            </w:pPr>
            <w:r>
              <w:rPr>
                <w:sz w:val="20"/>
              </w:rPr>
              <w:t xml:space="preserve">разработка и (или) приобретение прикладного программного обеспечения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8.3</w:t>
            </w:r>
          </w:p>
        </w:tc>
        <w:tc>
          <w:tcPr>
            <w:tcW w:w="2239" w:type="dxa"/>
          </w:tcPr>
          <w:p>
            <w:pPr>
              <w:pStyle w:val="0"/>
            </w:pPr>
            <w:r>
              <w:rPr>
                <w:sz w:val="20"/>
              </w:rPr>
              <w:t xml:space="preserve">уплата процентов по кредитам на приобретение оборудования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8.4</w:t>
            </w:r>
          </w:p>
        </w:tc>
        <w:tc>
          <w:tcPr>
            <w:tcW w:w="2239" w:type="dxa"/>
          </w:tcPr>
          <w:p>
            <w:pPr>
              <w:pStyle w:val="0"/>
            </w:pPr>
            <w:r>
              <w:rPr>
                <w:sz w:val="20"/>
              </w:rPr>
              <w:t xml:space="preserve">строительство, реконструкция объектов капитального строительства, включая затраты на их подключение к инженерной инфраструктуре</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8.5</w:t>
            </w:r>
          </w:p>
        </w:tc>
        <w:tc>
          <w:tcPr>
            <w:tcW w:w="2239" w:type="dxa"/>
          </w:tcPr>
          <w:p>
            <w:pPr>
              <w:pStyle w:val="0"/>
            </w:pPr>
            <w:r>
              <w:rPr>
                <w:sz w:val="20"/>
              </w:rPr>
              <w:t xml:space="preserve">прочие направления инвестиций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9</w:t>
            </w:r>
          </w:p>
        </w:tc>
        <w:tc>
          <w:tcPr>
            <w:tcW w:w="2239" w:type="dxa"/>
          </w:tcPr>
          <w:p>
            <w:pPr>
              <w:pStyle w:val="0"/>
            </w:pPr>
            <w:r>
              <w:rPr>
                <w:sz w:val="20"/>
              </w:rPr>
              <w:t xml:space="preserve">Сумма заявленной субсидии, тыс. руб.</w:t>
            </w:r>
          </w:p>
        </w:tc>
        <w:tc>
          <w:tcPr>
            <w:tcW w:w="1924" w:type="dxa"/>
          </w:tcPr>
          <w:p>
            <w:pPr>
              <w:pStyle w:val="0"/>
              <w:jc w:val="center"/>
            </w:pPr>
            <w:r>
              <w:rPr>
                <w:sz w:val="20"/>
              </w:rPr>
              <w:t xml:space="preserve">х</w:t>
            </w:r>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1234" w:type="dxa"/>
          </w:tcPr>
          <w:p>
            <w:pPr>
              <w:pStyle w:val="0"/>
            </w:pPr>
            <w:r>
              <w:rPr>
                <w:sz w:val="20"/>
              </w:rPr>
            </w:r>
          </w:p>
        </w:tc>
        <w:tc>
          <w:tcPr>
            <w:tcW w:w="123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pPr>
            <w:r>
              <w:rPr>
                <w:sz w:val="20"/>
              </w:rPr>
              <w:t xml:space="preserve">10</w:t>
            </w:r>
          </w:p>
        </w:tc>
        <w:tc>
          <w:tcPr>
            <w:tcW w:w="2239" w:type="dxa"/>
          </w:tcPr>
          <w:p>
            <w:pPr>
              <w:pStyle w:val="0"/>
            </w:pPr>
            <w:r>
              <w:rPr>
                <w:sz w:val="20"/>
              </w:rPr>
              <w:t xml:space="preserve">Прирост дохода, за исключением объема субсидий и грантов (включая объем субсидий на возмещение недополученных доходов), предоставленных из бюджетов всех уровней, процент</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bl>
    <w:p>
      <w:pPr>
        <w:sectPr>
          <w:headerReference w:type="default" r:id="rId189"/>
          <w:headerReference w:type="first" r:id="rId189"/>
          <w:footerReference w:type="default" r:id="rId190"/>
          <w:footerReference w:type="first" r:id="rId190"/>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n - год подачи заявки для участия в конкурсе и получения субсидии (текущий финансовый год);</w:t>
      </w:r>
    </w:p>
    <w:p>
      <w:pPr>
        <w:pStyle w:val="0"/>
        <w:spacing w:before="200" w:lineRule="auto"/>
        <w:ind w:firstLine="540"/>
        <w:jc w:val="both"/>
      </w:pPr>
      <w:r>
        <w:rPr>
          <w:sz w:val="20"/>
        </w:rPr>
        <w:t xml:space="preserve">n - 2, n - 1 - финансовые годы, предшествующие году подачи заявки для участия в конкурсе и получения субсидии;</w:t>
      </w:r>
    </w:p>
    <w:p>
      <w:pPr>
        <w:pStyle w:val="0"/>
        <w:spacing w:before="200" w:lineRule="auto"/>
        <w:ind w:firstLine="540"/>
        <w:jc w:val="both"/>
      </w:pPr>
      <w:r>
        <w:rPr>
          <w:sz w:val="20"/>
        </w:rPr>
        <w:t xml:space="preserve">n + 1 - финансовый год, следующий за годом подачи заявки для участия в конкурсе и получения субсидии.</w:t>
      </w:r>
    </w:p>
    <w:bookmarkStart w:id="1604" w:name="P1604"/>
    <w:bookmarkEnd w:id="1604"/>
    <w:p>
      <w:pPr>
        <w:pStyle w:val="0"/>
        <w:spacing w:before="200" w:lineRule="auto"/>
        <w:ind w:firstLine="540"/>
        <w:jc w:val="both"/>
      </w:pPr>
      <w:r>
        <w:rPr>
          <w:sz w:val="20"/>
        </w:rPr>
        <w:t xml:space="preserve">&lt;**&gt; значения по строке 7 определяются в соответствии с </w:t>
      </w:r>
      <w:hyperlink w:history="0" w:anchor="P289" w:tooltip="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w:r>
          <w:rPr>
            <w:sz w:val="20"/>
            <w:color w:val="0000ff"/>
          </w:rPr>
          <w:t xml:space="preserve">подпунктом 9 пункта 21</w:t>
        </w:r>
      </w:hyperlink>
      <w:r>
        <w:rPr>
          <w:sz w:val="20"/>
        </w:rPr>
        <w:t xml:space="preserve"> Положения.</w:t>
      </w:r>
    </w:p>
    <w:p>
      <w:pPr>
        <w:pStyle w:val="0"/>
        <w:ind w:firstLine="540"/>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641" w:name="P1641"/>
    <w:bookmarkEnd w:id="1641"/>
    <w:p>
      <w:pPr>
        <w:pStyle w:val="1"/>
        <w:jc w:val="both"/>
      </w:pPr>
      <w:r>
        <w:rPr>
          <w:sz w:val="20"/>
        </w:rPr>
        <w:t xml:space="preserve">                                    АКТ</w:t>
      </w:r>
    </w:p>
    <w:p>
      <w:pPr>
        <w:pStyle w:val="1"/>
        <w:jc w:val="both"/>
      </w:pPr>
      <w:r>
        <w:rPr>
          <w:sz w:val="20"/>
        </w:rPr>
        <w:t xml:space="preserve">           о вводе в эксплуатацию и установлении срока полезного</w:t>
      </w:r>
    </w:p>
    <w:p>
      <w:pPr>
        <w:pStyle w:val="1"/>
        <w:jc w:val="both"/>
      </w:pPr>
      <w:r>
        <w:rPr>
          <w:sz w:val="20"/>
        </w:rPr>
        <w:t xml:space="preserve">                          использования имущества</w:t>
      </w:r>
    </w:p>
    <w:p>
      <w:pPr>
        <w:pStyle w:val="1"/>
        <w:jc w:val="both"/>
      </w:pPr>
      <w:r>
        <w:rPr>
          <w:sz w:val="20"/>
        </w:rPr>
      </w:r>
    </w:p>
    <w:p>
      <w:pPr>
        <w:pStyle w:val="1"/>
        <w:jc w:val="both"/>
      </w:pPr>
      <w:r>
        <w:rPr>
          <w:sz w:val="20"/>
        </w:rPr>
        <w:t xml:space="preserve">    Полное наименование налогоплательщика: ________________________________</w:t>
      </w:r>
    </w:p>
    <w:p>
      <w:pPr>
        <w:pStyle w:val="1"/>
        <w:jc w:val="both"/>
      </w:pPr>
      <w:r>
        <w:rPr>
          <w:sz w:val="20"/>
        </w:rPr>
        <w:t xml:space="preserve">    ИНН налогоплательщика: ________________________________________________</w:t>
      </w:r>
    </w:p>
    <w:p>
      <w:pPr>
        <w:pStyle w:val="1"/>
        <w:jc w:val="both"/>
      </w:pPr>
      <w:r>
        <w:rPr>
          <w:sz w:val="20"/>
        </w:rPr>
      </w:r>
    </w:p>
    <w:p>
      <w:pPr>
        <w:pStyle w:val="1"/>
        <w:jc w:val="both"/>
      </w:pPr>
      <w:r>
        <w:rPr>
          <w:sz w:val="20"/>
        </w:rPr>
        <w:t xml:space="preserve">    Ввести  с  "__"  ___________ 20__ года в эксплуатацию нижеперечисленное</w:t>
      </w:r>
    </w:p>
    <w:p>
      <w:pPr>
        <w:pStyle w:val="1"/>
        <w:jc w:val="both"/>
      </w:pPr>
      <w:r>
        <w:rPr>
          <w:sz w:val="20"/>
        </w:rPr>
        <w:t xml:space="preserve">имущество и установить следующий срок его полезного использования: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01"/>
        <w:gridCol w:w="1701"/>
        <w:gridCol w:w="1701"/>
        <w:gridCol w:w="1417"/>
        <w:gridCol w:w="1984"/>
      </w:tblGrid>
      <w:tr>
        <w:tc>
          <w:tcPr>
            <w:tcW w:w="567" w:type="dxa"/>
            <w:vMerge w:val="restart"/>
          </w:tcPr>
          <w:p>
            <w:pPr>
              <w:pStyle w:val="0"/>
              <w:jc w:val="center"/>
            </w:pPr>
            <w:r>
              <w:rPr>
                <w:sz w:val="20"/>
              </w:rPr>
              <w:t xml:space="preserve">N п/п</w:t>
            </w:r>
          </w:p>
        </w:tc>
        <w:tc>
          <w:tcPr>
            <w:tcW w:w="1701" w:type="dxa"/>
            <w:vMerge w:val="restart"/>
          </w:tcPr>
          <w:p>
            <w:pPr>
              <w:pStyle w:val="0"/>
              <w:jc w:val="center"/>
            </w:pPr>
            <w:r>
              <w:rPr>
                <w:sz w:val="20"/>
              </w:rPr>
              <w:t xml:space="preserve">Наименование имущества, введенного в эксплуатацию</w:t>
            </w:r>
          </w:p>
        </w:tc>
        <w:tc>
          <w:tcPr>
            <w:tcW w:w="1701" w:type="dxa"/>
            <w:vMerge w:val="restart"/>
          </w:tcPr>
          <w:p>
            <w:pPr>
              <w:pStyle w:val="0"/>
              <w:jc w:val="center"/>
            </w:pPr>
            <w:r>
              <w:rPr>
                <w:sz w:val="20"/>
              </w:rPr>
              <w:t xml:space="preserve">Наименование документов о поступлении, дата, номер</w:t>
            </w:r>
          </w:p>
        </w:tc>
        <w:tc>
          <w:tcPr>
            <w:gridSpan w:val="2"/>
            <w:tcW w:w="3118" w:type="dxa"/>
          </w:tcPr>
          <w:p>
            <w:pPr>
              <w:pStyle w:val="0"/>
              <w:jc w:val="center"/>
            </w:pPr>
            <w:r>
              <w:rPr>
                <w:sz w:val="20"/>
              </w:rPr>
              <w:t xml:space="preserve">Определение амортизационной группы имущества на основании:</w:t>
            </w:r>
          </w:p>
        </w:tc>
        <w:tc>
          <w:tcPr>
            <w:tcW w:w="1984" w:type="dxa"/>
            <w:vMerge w:val="restart"/>
          </w:tcPr>
          <w:p>
            <w:pPr>
              <w:pStyle w:val="0"/>
              <w:jc w:val="center"/>
            </w:pPr>
            <w:r>
              <w:rPr>
                <w:sz w:val="20"/>
              </w:rPr>
              <w:t xml:space="preserve">Установленный срок полезного использования имущества</w:t>
            </w:r>
          </w:p>
        </w:tc>
      </w:tr>
      <w:tr>
        <w:tc>
          <w:tcPr>
            <w:vMerge w:val="continue"/>
          </w:tcPr>
          <w:p/>
        </w:tc>
        <w:tc>
          <w:tcPr>
            <w:vMerge w:val="continue"/>
          </w:tcPr>
          <w:p/>
        </w:tc>
        <w:tc>
          <w:tcPr>
            <w:vMerge w:val="continue"/>
          </w:tcPr>
          <w:p/>
        </w:tc>
        <w:tc>
          <w:tcPr>
            <w:tcW w:w="1701" w:type="dxa"/>
          </w:tcPr>
          <w:p>
            <w:pPr>
              <w:pStyle w:val="0"/>
              <w:jc w:val="center"/>
            </w:pPr>
            <w:hyperlink w:history="0" r:id="rId191" w:tooltip="&quot;Налоговый кодекс Российской Федерации (часть вторая)&quot; от 05.08.2000 N 117-ФЗ (ред. от 25.05.2026) (с изм. и доп., вступ. в силу с 01.07.2026) {КонсультантПлюс}">
              <w:r>
                <w:rPr>
                  <w:sz w:val="20"/>
                  <w:color w:val="0000ff"/>
                </w:rPr>
                <w:t xml:space="preserve">ст. 258</w:t>
              </w:r>
            </w:hyperlink>
            <w:r>
              <w:rPr>
                <w:sz w:val="20"/>
              </w:rPr>
              <w:t xml:space="preserve"> Налогового кодекса РФ </w:t>
            </w:r>
            <w:hyperlink w:history="0" w:anchor="P1672" w:tooltip="&lt;*&gt; Пункт 3 статьи 258 Налогового кодекса Российской Федерации и Постановление Правительства Российской Федерации от 01.01.2002 N 1 &quot;О Классификации основных средств, включаемых в амортизационные группы&quot;.">
              <w:r>
                <w:rPr>
                  <w:sz w:val="20"/>
                  <w:color w:val="0000ff"/>
                </w:rPr>
                <w:t xml:space="preserve">&lt;*&gt;</w:t>
              </w:r>
            </w:hyperlink>
          </w:p>
        </w:tc>
        <w:tc>
          <w:tcPr>
            <w:tcW w:w="1417" w:type="dxa"/>
          </w:tcPr>
          <w:p>
            <w:pPr>
              <w:pStyle w:val="0"/>
              <w:jc w:val="center"/>
            </w:pPr>
            <w:r>
              <w:rPr>
                <w:sz w:val="20"/>
              </w:rPr>
              <w:t xml:space="preserve">иных документов </w:t>
            </w:r>
            <w:hyperlink w:history="0" w:anchor="P1673" w:tooltip="&lt;**&gt; Технические условия (техническая документация) к амортизируемому имуществу и (или) письмо изготовителя (продавца/дилера/дистрибьютера) согласно пункту 6 статьи 258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
              <w:r>
                <w:rPr>
                  <w:sz w:val="20"/>
                  <w:color w:val="0000ff"/>
                </w:rPr>
                <w:t xml:space="preserve">&lt;**&gt;</w:t>
              </w:r>
            </w:hyperlink>
          </w:p>
        </w:tc>
        <w:tc>
          <w:tcPr>
            <w:vMerge w:val="continue"/>
          </w:tcPr>
          <w:p/>
        </w:tc>
      </w:tr>
      <w:tr>
        <w:tc>
          <w:tcPr>
            <w:tcW w:w="567" w:type="dxa"/>
          </w:tcPr>
          <w:p>
            <w:pPr>
              <w:pStyle w:val="0"/>
              <w:jc w:val="center"/>
            </w:pPr>
            <w:r>
              <w:rPr>
                <w:sz w:val="20"/>
              </w:rPr>
              <w:t xml:space="preserve">1</w:t>
            </w:r>
          </w:p>
        </w:tc>
        <w:tc>
          <w:tcPr>
            <w:tcW w:w="1701" w:type="dxa"/>
          </w:tcPr>
          <w:p>
            <w:pPr>
              <w:pStyle w:val="0"/>
              <w:jc w:val="center"/>
            </w:pPr>
            <w:r>
              <w:rPr>
                <w:sz w:val="20"/>
              </w:rPr>
              <w:t xml:space="preserve">2</w:t>
            </w:r>
          </w:p>
        </w:tc>
        <w:tc>
          <w:tcPr>
            <w:tcW w:w="1701" w:type="dxa"/>
          </w:tcPr>
          <w:p>
            <w:pPr>
              <w:pStyle w:val="0"/>
              <w:jc w:val="center"/>
            </w:pPr>
            <w:r>
              <w:rPr>
                <w:sz w:val="20"/>
              </w:rPr>
              <w:t xml:space="preserve">3</w:t>
            </w:r>
          </w:p>
        </w:tc>
        <w:tc>
          <w:tcPr>
            <w:tcW w:w="1701" w:type="dxa"/>
          </w:tcPr>
          <w:p>
            <w:pPr>
              <w:pStyle w:val="0"/>
              <w:jc w:val="center"/>
            </w:pPr>
            <w:r>
              <w:rPr>
                <w:sz w:val="20"/>
              </w:rPr>
              <w:t xml:space="preserve">4</w:t>
            </w:r>
          </w:p>
        </w:tc>
        <w:tc>
          <w:tcPr>
            <w:tcW w:w="1417" w:type="dxa"/>
          </w:tcPr>
          <w:p>
            <w:pPr>
              <w:pStyle w:val="0"/>
              <w:jc w:val="center"/>
            </w:pPr>
            <w:r>
              <w:rPr>
                <w:sz w:val="20"/>
              </w:rPr>
              <w:t xml:space="preserve">5</w:t>
            </w:r>
          </w:p>
        </w:tc>
        <w:tc>
          <w:tcPr>
            <w:tcW w:w="1984" w:type="dxa"/>
          </w:tcPr>
          <w:p>
            <w:pPr>
              <w:pStyle w:val="0"/>
              <w:jc w:val="center"/>
            </w:pPr>
            <w:r>
              <w:rPr>
                <w:sz w:val="20"/>
              </w:rPr>
              <w:t xml:space="preserve">6</w:t>
            </w:r>
          </w:p>
        </w:tc>
      </w:tr>
      <w:tr>
        <w:tc>
          <w:tcPr>
            <w:tcW w:w="567" w:type="dxa"/>
          </w:tcPr>
          <w:p>
            <w:pPr>
              <w:pStyle w:val="0"/>
            </w:pPr>
            <w:r>
              <w:rPr>
                <w:sz w:val="20"/>
              </w:rPr>
            </w:r>
          </w:p>
        </w:tc>
        <w:tc>
          <w:tcPr>
            <w:tcW w:w="1701" w:type="dxa"/>
          </w:tcPr>
          <w:p>
            <w:pPr>
              <w:pStyle w:val="0"/>
            </w:pPr>
            <w:r>
              <w:rPr>
                <w:sz w:val="20"/>
              </w:rPr>
            </w:r>
          </w:p>
        </w:tc>
        <w:tc>
          <w:tcPr>
            <w:tcW w:w="1701" w:type="dxa"/>
          </w:tcPr>
          <w:p>
            <w:pPr>
              <w:pStyle w:val="0"/>
            </w:pPr>
            <w:r>
              <w:rPr>
                <w:sz w:val="20"/>
              </w:rPr>
            </w:r>
          </w:p>
        </w:tc>
        <w:tc>
          <w:tcPr>
            <w:tcW w:w="1701" w:type="dxa"/>
          </w:tcPr>
          <w:p>
            <w:pPr>
              <w:pStyle w:val="0"/>
            </w:pPr>
            <w:r>
              <w:rPr>
                <w:sz w:val="20"/>
              </w:rPr>
            </w:r>
          </w:p>
        </w:tc>
        <w:tc>
          <w:tcPr>
            <w:tcW w:w="1417" w:type="dxa"/>
          </w:tcPr>
          <w:p>
            <w:pPr>
              <w:pStyle w:val="0"/>
            </w:pPr>
            <w:r>
              <w:rPr>
                <w:sz w:val="20"/>
              </w:rPr>
            </w:r>
          </w:p>
        </w:tc>
        <w:tc>
          <w:tcPr>
            <w:tcW w:w="198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1672" w:name="P1672"/>
    <w:bookmarkEnd w:id="1672"/>
    <w:p>
      <w:pPr>
        <w:pStyle w:val="0"/>
        <w:spacing w:before="200" w:lineRule="auto"/>
        <w:ind w:firstLine="540"/>
        <w:jc w:val="both"/>
      </w:pPr>
      <w:r>
        <w:rPr>
          <w:sz w:val="20"/>
        </w:rPr>
        <w:t xml:space="preserve">&lt;*&gt; </w:t>
      </w:r>
      <w:hyperlink w:history="0" r:id="rId192" w:tooltip="&quot;Налоговый кодекс Российской Федерации (часть вторая)&quot; от 05.08.2000 N 117-ФЗ (ред. от 25.05.2026) (с изм. и доп., вступ. в силу с 01.07.2026) {КонсультантПлюс}">
        <w:r>
          <w:rPr>
            <w:sz w:val="20"/>
            <w:color w:val="0000ff"/>
          </w:rPr>
          <w:t xml:space="preserve">Пункт 3 статьи 258</w:t>
        </w:r>
      </w:hyperlink>
      <w:r>
        <w:rPr>
          <w:sz w:val="20"/>
        </w:rPr>
        <w:t xml:space="preserve"> Налогового кодекса Российской Федерации и </w:t>
      </w:r>
      <w:hyperlink w:history="0" r:id="rId193"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0"/>
            <w:color w:val="0000ff"/>
          </w:rPr>
          <w:t xml:space="preserve">Постановление</w:t>
        </w:r>
      </w:hyperlink>
      <w:r>
        <w:rPr>
          <w:sz w:val="20"/>
        </w:rPr>
        <w:t xml:space="preserve"> Правительства Российской Федерации от 01.01.2002 N 1 "О Классификации основных средств, включаемых в амортизационные группы".</w:t>
      </w:r>
    </w:p>
    <w:bookmarkStart w:id="1673" w:name="P1673"/>
    <w:bookmarkEnd w:id="1673"/>
    <w:p>
      <w:pPr>
        <w:pStyle w:val="0"/>
        <w:spacing w:before="200" w:lineRule="auto"/>
        <w:ind w:firstLine="540"/>
        <w:jc w:val="both"/>
      </w:pPr>
      <w:r>
        <w:rPr>
          <w:sz w:val="20"/>
        </w:rPr>
        <w:t xml:space="preserve">&lt;**&gt; Технические условия (техническая документация) к амортизируемому имуществу и (или) письмо изготовителя (продавца/дилера/дистрибьютера) согласно </w:t>
      </w:r>
      <w:hyperlink w:history="0" r:id="rId194" w:tooltip="&quot;Налоговый кодекс Российской Федерации (часть вторая)&quot; от 05.08.2000 N 117-ФЗ (ред. от 25.05.2026) (с изм. и доп., вступ. в силу с 01.07.2026) {КонсультантПлюс}">
        <w:r>
          <w:rPr>
            <w:sz w:val="20"/>
            <w:color w:val="0000ff"/>
          </w:rPr>
          <w:t xml:space="preserve">пункту 6 статьи 258</w:t>
        </w:r>
      </w:hyperlink>
      <w:r>
        <w:rPr>
          <w:sz w:val="20"/>
        </w:rPr>
        <w:t xml:space="preserve">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pPr>
        <w:pStyle w:val="0"/>
        <w:ind w:firstLine="540"/>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4</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710" w:name="P1710"/>
    <w:bookmarkEnd w:id="1710"/>
    <w:p>
      <w:pPr>
        <w:pStyle w:val="2"/>
        <w:jc w:val="center"/>
      </w:pPr>
      <w:r>
        <w:rPr>
          <w:sz w:val="20"/>
        </w:rPr>
        <w:t xml:space="preserve">СОСТАВ</w:t>
      </w:r>
    </w:p>
    <w:p>
      <w:pPr>
        <w:pStyle w:val="2"/>
        <w:jc w:val="center"/>
      </w:pPr>
      <w:r>
        <w:rPr>
          <w:sz w:val="20"/>
        </w:rPr>
        <w:t xml:space="preserve">КОНКУРСНОЙ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118"/>
        <w:gridCol w:w="567"/>
        <w:gridCol w:w="5386"/>
      </w:tblGrid>
      <w:tr>
        <w:tc>
          <w:tcPr>
            <w:tcW w:w="3118" w:type="dxa"/>
            <w:tcBorders>
              <w:top w:val="nil"/>
              <w:left w:val="nil"/>
              <w:bottom w:val="nil"/>
              <w:right w:val="nil"/>
            </w:tcBorders>
          </w:tcPr>
          <w:p>
            <w:pPr>
              <w:pStyle w:val="0"/>
            </w:pPr>
            <w:r>
              <w:rPr>
                <w:sz w:val="20"/>
              </w:rPr>
              <w:t xml:space="preserve">Объедков</w:t>
            </w:r>
          </w:p>
          <w:p>
            <w:pPr>
              <w:pStyle w:val="0"/>
            </w:pPr>
            <w:r>
              <w:rPr>
                <w:sz w:val="20"/>
              </w:rPr>
              <w:t xml:space="preserve">Владимир Владимирович</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исполняющий обязанности руководителя департамента экономической политики и инвестиционного развития администрации города Красноярска, председатель конкурсной комиссии;</w:t>
            </w:r>
          </w:p>
        </w:tc>
      </w:tr>
      <w:tr>
        <w:tc>
          <w:tcPr>
            <w:tcW w:w="3118" w:type="dxa"/>
            <w:tcBorders>
              <w:top w:val="nil"/>
              <w:left w:val="nil"/>
              <w:bottom w:val="nil"/>
              <w:right w:val="nil"/>
            </w:tcBorders>
          </w:tcPr>
          <w:p>
            <w:pPr>
              <w:pStyle w:val="0"/>
            </w:pPr>
            <w:r>
              <w:rPr>
                <w:sz w:val="20"/>
              </w:rPr>
              <w:t xml:space="preserve">Морозова</w:t>
            </w:r>
          </w:p>
          <w:p>
            <w:pPr>
              <w:pStyle w:val="0"/>
            </w:pPr>
            <w:r>
              <w:rPr>
                <w:sz w:val="20"/>
              </w:rPr>
              <w:t xml:space="preserve">Светлана Юрьевна</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начальника отдела экономической политики департамента экономической политики и инвестиционного развития администрации города Красноярска, заместитель председателя конкурсной комиссии;</w:t>
            </w:r>
          </w:p>
        </w:tc>
      </w:tr>
      <w:tr>
        <w:tc>
          <w:tcPr>
            <w:tcW w:w="3118" w:type="dxa"/>
            <w:tcBorders>
              <w:top w:val="nil"/>
              <w:left w:val="nil"/>
              <w:bottom w:val="nil"/>
              <w:right w:val="nil"/>
            </w:tcBorders>
          </w:tcPr>
          <w:p>
            <w:pPr>
              <w:pStyle w:val="0"/>
            </w:pPr>
            <w:r>
              <w:rPr>
                <w:sz w:val="20"/>
              </w:rPr>
              <w:t xml:space="preserve">Манченко</w:t>
            </w:r>
          </w:p>
          <w:p>
            <w:pPr>
              <w:pStyle w:val="0"/>
            </w:pPr>
            <w:r>
              <w:rPr>
                <w:sz w:val="20"/>
              </w:rPr>
              <w:t xml:space="preserve">Игорь Александрович</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руководителя департамента дорожной инфраструктуры и транспорта администрации города Красноярска по организации пассажирских перевозок;</w:t>
            </w:r>
          </w:p>
        </w:tc>
      </w:tr>
      <w:tr>
        <w:tc>
          <w:tcPr>
            <w:tcW w:w="3118" w:type="dxa"/>
            <w:tcBorders>
              <w:top w:val="nil"/>
              <w:left w:val="nil"/>
              <w:bottom w:val="nil"/>
              <w:right w:val="nil"/>
            </w:tcBorders>
          </w:tcPr>
          <w:p>
            <w:pPr>
              <w:pStyle w:val="0"/>
            </w:pPr>
            <w:r>
              <w:rPr>
                <w:sz w:val="20"/>
              </w:rPr>
              <w:t xml:space="preserve">Шикунова</w:t>
            </w:r>
          </w:p>
          <w:p>
            <w:pPr>
              <w:pStyle w:val="0"/>
            </w:pPr>
            <w:r>
              <w:rPr>
                <w:sz w:val="20"/>
              </w:rPr>
              <w:t xml:space="preserve">Екатерина Николаевна</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руководителя департамента жилищно-коммунального хозяйства и благоустройства администрации города Красноярска по финансово-экономическим вопросам.</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5</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754" w:name="P1754"/>
    <w:bookmarkEnd w:id="1754"/>
    <w:p>
      <w:pPr>
        <w:pStyle w:val="1"/>
        <w:jc w:val="both"/>
      </w:pPr>
      <w:r>
        <w:rPr>
          <w:sz w:val="20"/>
        </w:rPr>
        <w:t xml:space="preserve">                            ОЦЕНОЧНАЯ ВЕДОМОСТЬ</w:t>
      </w:r>
    </w:p>
    <w:p>
      <w:pPr>
        <w:pStyle w:val="1"/>
        <w:jc w:val="both"/>
      </w:pPr>
      <w:r>
        <w:rPr>
          <w:sz w:val="20"/>
        </w:rPr>
      </w:r>
    </w:p>
    <w:p>
      <w:pPr>
        <w:pStyle w:val="1"/>
        <w:jc w:val="both"/>
      </w:pPr>
      <w:r>
        <w:rPr>
          <w:sz w:val="20"/>
        </w:rPr>
        <w:t xml:space="preserve">    Субъект  малого  или  среднего  предпринимательства  (далее  - участник</w:t>
      </w:r>
    </w:p>
    <w:p>
      <w:pPr>
        <w:pStyle w:val="1"/>
        <w:jc w:val="both"/>
      </w:pPr>
      <w:r>
        <w:rPr>
          <w:sz w:val="20"/>
        </w:rPr>
        <w:t xml:space="preserve">отбора): _________________________________________________________________.</w:t>
      </w:r>
    </w:p>
    <w:p>
      <w:pPr>
        <w:pStyle w:val="1"/>
        <w:jc w:val="both"/>
      </w:pPr>
      <w:r>
        <w:rPr>
          <w:sz w:val="20"/>
        </w:rPr>
        <w:t xml:space="preserve">    Дата  и  входящий  регистрационный  номер  в  ГИИС "Электронный бюджет"</w:t>
      </w:r>
    </w:p>
    <w:p>
      <w:pPr>
        <w:pStyle w:val="1"/>
        <w:jc w:val="both"/>
      </w:pPr>
      <w:r>
        <w:rPr>
          <w:sz w:val="20"/>
        </w:rPr>
        <w:t xml:space="preserve">заявки для участия в конкурсе и получения субсидии: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реализуемого   в  приоритетной  отрасли  инвестиционного</w:t>
      </w:r>
    </w:p>
    <w:p>
      <w:pPr>
        <w:pStyle w:val="1"/>
        <w:jc w:val="both"/>
      </w:pPr>
      <w:r>
        <w:rPr>
          <w:sz w:val="20"/>
        </w:rPr>
        <w:t xml:space="preserve">проекта  в  сфере производства, связанного с созданием нового или развитием</w:t>
      </w:r>
    </w:p>
    <w:p>
      <w:pPr>
        <w:pStyle w:val="1"/>
        <w:jc w:val="both"/>
      </w:pPr>
      <w:r>
        <w:rPr>
          <w:sz w:val="20"/>
        </w:rPr>
        <w:t xml:space="preserve">(модернизацией)  действующего  производства товаров (работ, услуг) (далее -</w:t>
      </w:r>
    </w:p>
    <w:p>
      <w:pPr>
        <w:pStyle w:val="1"/>
        <w:jc w:val="both"/>
      </w:pPr>
      <w:r>
        <w:rPr>
          <w:sz w:val="20"/>
        </w:rPr>
        <w:t xml:space="preserve">Проект): 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Вид  предпринимательской  деятельности  по Проекту (код и расшифровка в</w:t>
      </w:r>
    </w:p>
    <w:p>
      <w:pPr>
        <w:pStyle w:val="1"/>
        <w:jc w:val="both"/>
      </w:pPr>
      <w:r>
        <w:rPr>
          <w:sz w:val="20"/>
        </w:rPr>
        <w:t xml:space="preserve">соответствии   с   Общероссийским   </w:t>
      </w:r>
      <w:hyperlink w:history="0" r:id="rId1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классификатором</w:t>
        </w:r>
      </w:hyperlink>
      <w:r>
        <w:rPr>
          <w:sz w:val="20"/>
        </w:rPr>
        <w:t xml:space="preserve">   видов   экономической</w:t>
      </w:r>
    </w:p>
    <w:p>
      <w:pPr>
        <w:pStyle w:val="1"/>
        <w:jc w:val="both"/>
      </w:pPr>
      <w:r>
        <w:rPr>
          <w:sz w:val="20"/>
        </w:rPr>
        <w:t xml:space="preserve">деятельности): ___________________________________________________________.</w:t>
      </w:r>
    </w:p>
    <w:p>
      <w:pPr>
        <w:pStyle w:val="1"/>
        <w:jc w:val="both"/>
      </w:pPr>
      <w:r>
        <w:rPr>
          <w:sz w:val="20"/>
        </w:rPr>
      </w:r>
    </w:p>
    <w:p>
      <w:pPr>
        <w:pStyle w:val="1"/>
        <w:jc w:val="both"/>
      </w:pPr>
      <w:r>
        <w:rPr>
          <w:sz w:val="20"/>
        </w:rPr>
        <w:t xml:space="preserve">                              Таблица оценок</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102"/>
        <w:gridCol w:w="1701"/>
        <w:gridCol w:w="1701"/>
      </w:tblGrid>
      <w:tr>
        <w:tc>
          <w:tcPr>
            <w:tcW w:w="567" w:type="dxa"/>
          </w:tcPr>
          <w:p>
            <w:pPr>
              <w:pStyle w:val="0"/>
              <w:jc w:val="center"/>
            </w:pPr>
            <w:r>
              <w:rPr>
                <w:sz w:val="20"/>
              </w:rPr>
              <w:t xml:space="preserve">N п/п</w:t>
            </w:r>
          </w:p>
        </w:tc>
        <w:tc>
          <w:tcPr>
            <w:tcW w:w="5102" w:type="dxa"/>
          </w:tcPr>
          <w:p>
            <w:pPr>
              <w:pStyle w:val="0"/>
              <w:jc w:val="center"/>
            </w:pPr>
            <w:r>
              <w:rPr>
                <w:sz w:val="20"/>
              </w:rPr>
              <w:t xml:space="preserve">Наименование критерия оценки</w:t>
            </w:r>
          </w:p>
        </w:tc>
        <w:tc>
          <w:tcPr>
            <w:tcW w:w="1701" w:type="dxa"/>
          </w:tcPr>
          <w:p>
            <w:pPr>
              <w:pStyle w:val="0"/>
              <w:jc w:val="center"/>
            </w:pPr>
            <w:r>
              <w:rPr>
                <w:sz w:val="20"/>
              </w:rPr>
              <w:t xml:space="preserve">Оценка в баллах </w:t>
            </w:r>
            <w:hyperlink w:history="0" w:anchor="P1876" w:tooltip="&lt;*&gt; В графе 3 по строке 14 ставится значение &quot;0&quot; при наличии хотя бы одной оценки &quot;0 баллов&quot; по критериям оценки с 1-го по 6-й.">
              <w:r>
                <w:rPr>
                  <w:sz w:val="20"/>
                  <w:color w:val="0000ff"/>
                </w:rPr>
                <w:t xml:space="preserve">&lt;*&gt;</w:t>
              </w:r>
            </w:hyperlink>
          </w:p>
        </w:tc>
        <w:tc>
          <w:tcPr>
            <w:tcW w:w="1701" w:type="dxa"/>
          </w:tcPr>
          <w:p>
            <w:pPr>
              <w:pStyle w:val="0"/>
              <w:jc w:val="center"/>
            </w:pPr>
            <w:r>
              <w:rPr>
                <w:sz w:val="20"/>
              </w:rPr>
              <w:t xml:space="preserve">Основание (я) </w:t>
            </w:r>
            <w:hyperlink w:history="0" w:anchor="P1877" w:tooltip="&lt;**&gt; Графа 4 заполняется в случае указания в графе 3 оценки &quot;0 баллов&quot; при несоответствии участника отбора, заявки участника отбора положениям, установленным пунктами 10 и (или) 11, и (или) 12, и (или) 14, и (или) 17, и (или) 33, и (или) 34, и (или) 35 Положения.">
              <w:r>
                <w:rPr>
                  <w:sz w:val="20"/>
                  <w:color w:val="0000ff"/>
                </w:rPr>
                <w:t xml:space="preserve">&lt;**&gt;</w:t>
              </w:r>
            </w:hyperlink>
          </w:p>
        </w:tc>
      </w:tr>
      <w:tr>
        <w:tc>
          <w:tcPr>
            <w:tcW w:w="567" w:type="dxa"/>
          </w:tcPr>
          <w:p>
            <w:pPr>
              <w:pStyle w:val="0"/>
              <w:jc w:val="center"/>
            </w:pPr>
            <w:r>
              <w:rPr>
                <w:sz w:val="20"/>
              </w:rPr>
              <w:t xml:space="preserve">1</w:t>
            </w:r>
          </w:p>
        </w:tc>
        <w:tc>
          <w:tcPr>
            <w:tcW w:w="5102" w:type="dxa"/>
          </w:tcPr>
          <w:p>
            <w:pPr>
              <w:pStyle w:val="0"/>
              <w:jc w:val="center"/>
            </w:pPr>
            <w:r>
              <w:rPr>
                <w:sz w:val="20"/>
              </w:rPr>
              <w:t xml:space="preserve">2</w:t>
            </w:r>
          </w:p>
        </w:tc>
        <w:tc>
          <w:tcPr>
            <w:tcW w:w="1701" w:type="dxa"/>
          </w:tcPr>
          <w:bookmarkStart w:id="1778" w:name="P1778"/>
          <w:bookmarkEnd w:id="1778"/>
          <w:p>
            <w:pPr>
              <w:pStyle w:val="0"/>
              <w:jc w:val="center"/>
            </w:pPr>
            <w:r>
              <w:rPr>
                <w:sz w:val="20"/>
              </w:rPr>
              <w:t xml:space="preserve">3</w:t>
            </w:r>
          </w:p>
        </w:tc>
        <w:tc>
          <w:tcPr>
            <w:tcW w:w="1701" w:type="dxa"/>
          </w:tcPr>
          <w:bookmarkStart w:id="1779" w:name="P1779"/>
          <w:bookmarkEnd w:id="1779"/>
          <w:p>
            <w:pPr>
              <w:pStyle w:val="0"/>
              <w:jc w:val="center"/>
            </w:pPr>
            <w:r>
              <w:rPr>
                <w:sz w:val="20"/>
              </w:rPr>
              <w:t xml:space="preserve">4</w:t>
            </w:r>
          </w:p>
        </w:tc>
      </w:tr>
      <w:tr>
        <w:tc>
          <w:tcPr>
            <w:tcW w:w="567" w:type="dxa"/>
          </w:tcPr>
          <w:p>
            <w:pPr>
              <w:pStyle w:val="0"/>
            </w:pPr>
            <w:r>
              <w:rPr>
                <w:sz w:val="20"/>
              </w:rPr>
              <w:t xml:space="preserve">1</w:t>
            </w:r>
          </w:p>
        </w:tc>
        <w:tc>
          <w:tcPr>
            <w:tcW w:w="5102" w:type="dxa"/>
          </w:tcPr>
          <w:p>
            <w:pPr>
              <w:pStyle w:val="0"/>
            </w:pPr>
            <w:r>
              <w:rPr>
                <w:sz w:val="20"/>
              </w:rPr>
              <w:t xml:space="preserve">Соответствие участника отбора категориям,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 10</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2</w:t>
            </w:r>
          </w:p>
        </w:tc>
        <w:tc>
          <w:tcPr>
            <w:tcW w:w="5102" w:type="dxa"/>
          </w:tcPr>
          <w:p>
            <w:pPr>
              <w:pStyle w:val="0"/>
            </w:pPr>
            <w:r>
              <w:rPr>
                <w:sz w:val="20"/>
              </w:rPr>
              <w:t xml:space="preserve">Соответствие участника отбора требованиям, установленным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 11</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3</w:t>
            </w:r>
          </w:p>
        </w:tc>
        <w:tc>
          <w:tcPr>
            <w:tcW w:w="5102" w:type="dxa"/>
          </w:tcPr>
          <w:p>
            <w:pPr>
              <w:pStyle w:val="0"/>
            </w:pPr>
            <w:r>
              <w:rPr>
                <w:sz w:val="20"/>
              </w:rPr>
              <w:t xml:space="preserve">Соответствие участника отбора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 12</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4</w:t>
            </w:r>
          </w:p>
        </w:tc>
        <w:tc>
          <w:tcPr>
            <w:tcW w:w="5102" w:type="dxa"/>
          </w:tcPr>
          <w:p>
            <w:pPr>
              <w:pStyle w:val="0"/>
            </w:pPr>
            <w:r>
              <w:rPr>
                <w:sz w:val="20"/>
              </w:rPr>
              <w:t xml:space="preserve">Соответствие заявки требованиям, установленным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пп. 14</w:t>
              </w:r>
            </w:hyperlink>
            <w:r>
              <w:rPr>
                <w:sz w:val="20"/>
              </w:rPr>
              <w:t xml:space="preserve">,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33</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5</w:t>
            </w:r>
          </w:p>
        </w:tc>
        <w:tc>
          <w:tcPr>
            <w:tcW w:w="5102" w:type="dxa"/>
          </w:tcPr>
          <w:p>
            <w:pPr>
              <w:pStyle w:val="0"/>
            </w:pPr>
            <w:r>
              <w:rPr>
                <w:sz w:val="20"/>
              </w:rPr>
              <w:t xml:space="preserve">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6</w:t>
            </w:r>
          </w:p>
        </w:tc>
        <w:tc>
          <w:tcPr>
            <w:tcW w:w="5102" w:type="dxa"/>
          </w:tcPr>
          <w:p>
            <w:pPr>
              <w:pStyle w:val="0"/>
            </w:pPr>
            <w:r>
              <w:rPr>
                <w:sz w:val="20"/>
              </w:rPr>
              <w:t xml:space="preserve">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(критерий оценки - 20% общей суммы баллов):</w:t>
            </w:r>
          </w:p>
          <w:p>
            <w:pPr>
              <w:pStyle w:val="0"/>
            </w:pPr>
            <w:r>
              <w:rPr>
                <w:sz w:val="20"/>
              </w:rPr>
              <w:t xml:space="preserve">10 единиц и более - 20 баллов;</w:t>
            </w:r>
          </w:p>
          <w:p>
            <w:pPr>
              <w:pStyle w:val="0"/>
            </w:pPr>
            <w:r>
              <w:rPr>
                <w:sz w:val="20"/>
              </w:rPr>
              <w:t xml:space="preserve">6 единиц, но не более 10 единиц - 10 баллов;</w:t>
            </w:r>
          </w:p>
          <w:p>
            <w:pPr>
              <w:pStyle w:val="0"/>
            </w:pPr>
            <w:r>
              <w:rPr>
                <w:sz w:val="20"/>
              </w:rPr>
              <w:t xml:space="preserve">более 2 единиц (включительно), но не более 6 единиц - 5 баллов;</w:t>
            </w:r>
          </w:p>
          <w:p>
            <w:pPr>
              <w:pStyle w:val="0"/>
            </w:pPr>
            <w:r>
              <w:rPr>
                <w:sz w:val="20"/>
              </w:rPr>
              <w:t xml:space="preserve">менее 2 единиц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7</w:t>
            </w:r>
          </w:p>
        </w:tc>
        <w:tc>
          <w:tcPr>
            <w:tcW w:w="5102" w:type="dxa"/>
          </w:tcPr>
          <w:p>
            <w:pPr>
              <w:pStyle w:val="0"/>
            </w:pPr>
            <w:r>
              <w:rPr>
                <w:sz w:val="20"/>
              </w:rPr>
              <w:t xml:space="preserve">Актуальность и социальная значимость проекта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8</w:t>
            </w:r>
          </w:p>
        </w:tc>
        <w:tc>
          <w:tcPr>
            <w:tcW w:w="5102" w:type="dxa"/>
          </w:tcPr>
          <w:p>
            <w:pPr>
              <w:pStyle w:val="0"/>
            </w:pPr>
            <w:r>
              <w:rPr>
                <w:sz w:val="20"/>
              </w:rPr>
              <w:t xml:space="preserve">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 (критерий оценки - 15% общей суммы баллов):</w:t>
            </w:r>
          </w:p>
          <w:p>
            <w:pPr>
              <w:pStyle w:val="0"/>
            </w:pPr>
            <w:r>
              <w:rPr>
                <w:sz w:val="20"/>
              </w:rPr>
              <w:t xml:space="preserve">прирост более 80% у участника отбора с численностью работников не более 15 человек и прирост более 50% у участника отбора с численностью работников более 15 человек:</w:t>
            </w:r>
          </w:p>
          <w:p>
            <w:pPr>
              <w:pStyle w:val="0"/>
            </w:pPr>
            <w:r>
              <w:rPr>
                <w:sz w:val="20"/>
              </w:rPr>
              <w:t xml:space="preserve">- 15 баллов;</w:t>
            </w:r>
          </w:p>
          <w:p>
            <w:pPr>
              <w:pStyle w:val="0"/>
            </w:pPr>
            <w:r>
              <w:rPr>
                <w:sz w:val="20"/>
              </w:rPr>
              <w:t xml:space="preserve">прирост более 60%, но менее 80% у участника отбора с численностью работников не более 15 человек и прирост более 20%, но менее 50% у участника отбора с численностью работников более 15 человек: - 11 баллов;</w:t>
            </w:r>
          </w:p>
          <w:p>
            <w:pPr>
              <w:pStyle w:val="0"/>
            </w:pPr>
            <w:r>
              <w:rPr>
                <w:sz w:val="20"/>
              </w:rPr>
              <w:t xml:space="preserve">прирост более 40%, но менее 60% у участника отбора с численностью работников не более 15 человек и прирост более 10%, но менее 20% у участника отбора с численностью работников более 15 человек: - 8 баллов;</w:t>
            </w:r>
          </w:p>
          <w:p>
            <w:pPr>
              <w:pStyle w:val="0"/>
            </w:pPr>
            <w:r>
              <w:rPr>
                <w:sz w:val="20"/>
              </w:rPr>
              <w:t xml:space="preserve">прирост более 20%, но менее 40% у участника отбора с численностью работников не более 15 человек и прирост более 5%, но менее 10% у участника отбора с численностью работников более 15 человек: - 4 балла;</w:t>
            </w:r>
          </w:p>
          <w:p>
            <w:pPr>
              <w:pStyle w:val="0"/>
            </w:pPr>
            <w:r>
              <w:rPr>
                <w:sz w:val="20"/>
              </w:rPr>
              <w:t xml:space="preserve">прирост менее 20% у участника отбора с численностью работников не более 15 человек и прирост менее 5% у участника отбора с численностью работников более 15 человек, и участник отбора, не имеющий работников:</w:t>
            </w:r>
          </w:p>
          <w:p>
            <w:pPr>
              <w:pStyle w:val="0"/>
            </w:pPr>
            <w:r>
              <w:rPr>
                <w:sz w:val="20"/>
              </w:rPr>
              <w:t xml:space="preserve">- 1 балл;</w:t>
            </w:r>
          </w:p>
          <w:p>
            <w:pPr>
              <w:pStyle w:val="0"/>
            </w:pPr>
            <w:r>
              <w:rPr>
                <w:sz w:val="20"/>
              </w:rPr>
              <w:t xml:space="preserve">прирост отсутствует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9</w:t>
            </w:r>
          </w:p>
        </w:tc>
        <w:tc>
          <w:tcPr>
            <w:tcW w:w="5102" w:type="dxa"/>
          </w:tcPr>
          <w:p>
            <w:pPr>
              <w:pStyle w:val="0"/>
            </w:pPr>
            <w:r>
              <w:rPr>
                <w:sz w:val="20"/>
              </w:rPr>
              <w:t xml:space="preserve">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(критерий оценки - 5% общей суммы баллов):</w:t>
            </w:r>
          </w:p>
          <w:p>
            <w:pPr>
              <w:pStyle w:val="0"/>
            </w:pPr>
            <w:r>
              <w:rPr>
                <w:sz w:val="20"/>
              </w:rPr>
              <w:t xml:space="preserve">свыше 1 единицы у участника отбора, имеющего работников, и у участника отбора, не имеющего работников, - 5 баллов;</w:t>
            </w:r>
          </w:p>
          <w:p>
            <w:pPr>
              <w:pStyle w:val="0"/>
            </w:pPr>
            <w:r>
              <w:rPr>
                <w:sz w:val="20"/>
              </w:rPr>
              <w:t xml:space="preserve">ниже 1 единицы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10</w:t>
            </w:r>
          </w:p>
        </w:tc>
        <w:tc>
          <w:tcPr>
            <w:tcW w:w="5102" w:type="dxa"/>
          </w:tcPr>
          <w:p>
            <w:pPr>
              <w:pStyle w:val="0"/>
            </w:pPr>
            <w:r>
              <w:rPr>
                <w:sz w:val="20"/>
              </w:rPr>
              <w:t xml:space="preserve">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за исключением доходов, полученных участником отбора в соответствующем году в форме субсидий и грантов, привлекаемых 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 отбора на возмещение недополученных доходов) (критерий оценки - 15% общей суммы баллов):</w:t>
            </w:r>
          </w:p>
          <w:p>
            <w:pPr>
              <w:pStyle w:val="0"/>
            </w:pPr>
            <w:r>
              <w:rPr>
                <w:sz w:val="20"/>
              </w:rPr>
              <w:t xml:space="preserve">на 30 процентов включительно и более - 15 баллов;</w:t>
            </w:r>
          </w:p>
          <w:p>
            <w:pPr>
              <w:pStyle w:val="0"/>
            </w:pPr>
            <w:r>
              <w:rPr>
                <w:sz w:val="20"/>
              </w:rPr>
              <w:t xml:space="preserve">на 25 процентов включительно, но менее 30 процентов - 11 баллов;</w:t>
            </w:r>
          </w:p>
          <w:p>
            <w:pPr>
              <w:pStyle w:val="0"/>
            </w:pPr>
            <w:r>
              <w:rPr>
                <w:sz w:val="20"/>
              </w:rPr>
              <w:t xml:space="preserve">на 15 процентов включительно, но менее 25 процентов - 8 баллов;</w:t>
            </w:r>
          </w:p>
          <w:p>
            <w:pPr>
              <w:pStyle w:val="0"/>
            </w:pPr>
            <w:r>
              <w:rPr>
                <w:sz w:val="20"/>
              </w:rPr>
              <w:t xml:space="preserve">на 10 процентов включительно, но менее 15 процентов - 4 балла;</w:t>
            </w:r>
          </w:p>
          <w:p>
            <w:pPr>
              <w:pStyle w:val="0"/>
            </w:pPr>
            <w:r>
              <w:rPr>
                <w:sz w:val="20"/>
              </w:rPr>
              <w:t xml:space="preserve">менее 10 процентов - 1 балл;</w:t>
            </w:r>
          </w:p>
          <w:p>
            <w:pPr>
              <w:pStyle w:val="0"/>
            </w:pPr>
            <w:r>
              <w:rPr>
                <w:sz w:val="20"/>
              </w:rPr>
              <w:t xml:space="preserve">прирост дохода отсутствует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11</w:t>
            </w:r>
          </w:p>
        </w:tc>
        <w:tc>
          <w:tcPr>
            <w:tcW w:w="5102" w:type="dxa"/>
          </w:tcPr>
          <w:p>
            <w:pPr>
              <w:pStyle w:val="0"/>
            </w:pPr>
            <w:r>
              <w:rPr>
                <w:sz w:val="20"/>
              </w:rPr>
              <w:t xml:space="preserve">Наличие/отсутствие соглашения о реализации мероприятий по повышению производительности труда, заключенного между предприятием и ФЦК/РЦК (критерий оценки - 5% общей суммы баллов):</w:t>
            </w:r>
          </w:p>
          <w:p>
            <w:pPr>
              <w:pStyle w:val="0"/>
            </w:pPr>
            <w:r>
              <w:rPr>
                <w:sz w:val="20"/>
              </w:rPr>
              <w:t xml:space="preserve">наличие соглашения, заключенного между предприятием и ФЦК/РЦК, - 5 баллов;</w:t>
            </w:r>
          </w:p>
          <w:p>
            <w:pPr>
              <w:pStyle w:val="0"/>
            </w:pPr>
            <w:r>
              <w:rPr>
                <w:sz w:val="20"/>
              </w:rPr>
              <w:t xml:space="preserve">отсутствие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12</w:t>
            </w:r>
          </w:p>
        </w:tc>
        <w:tc>
          <w:tcPr>
            <w:tcW w:w="5102" w:type="dxa"/>
          </w:tcPr>
          <w:p>
            <w:pPr>
              <w:pStyle w:val="0"/>
            </w:pPr>
            <w:r>
              <w:rPr>
                <w:sz w:val="20"/>
              </w:rPr>
              <w:t xml:space="preserve">Проект соответствует/не соответствует задаче по достижению национальной цели - технологическое лидерство по направлениям "Перспективные космические технологии и сервисы", "Беспилотные авиационные системы", "Продовольственная безопасность", "Средства производства и автоматизации", "Новые материалы и химия", "Новые технологии сбережения здоровья", "Биоэкономика", "Новые технологические технологии", "Промышленное обеспечение транспортной мобильности", который будет способствовать достижению показателей "увеличение уровня валовой добавленной стоимости в обрабатывающей промышленности", "увеличение доли отечественных высокотехнологичных товаров и услуг", "снижение к 2030 году доли импорта товаров и услуг в валовом внутреннем продукте до 17 процентов"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13</w:t>
            </w:r>
          </w:p>
        </w:tc>
        <w:tc>
          <w:tcPr>
            <w:tcW w:w="5102" w:type="dxa"/>
          </w:tcPr>
          <w:p>
            <w:pPr>
              <w:pStyle w:val="0"/>
            </w:pPr>
            <w:r>
              <w:rPr>
                <w:sz w:val="20"/>
              </w:rPr>
              <w:t xml:space="preserve">Наличие/отсутствие у участника отбора трудоустроенных участников СВО (критерий оценки - 5% общей суммы баллов):</w:t>
            </w:r>
          </w:p>
          <w:p>
            <w:pPr>
              <w:pStyle w:val="0"/>
            </w:pPr>
            <w:r>
              <w:rPr>
                <w:sz w:val="20"/>
              </w:rPr>
              <w:t xml:space="preserve">наличие трудоустроенных участников СВО - 5 баллов;</w:t>
            </w:r>
          </w:p>
          <w:p>
            <w:pPr>
              <w:pStyle w:val="0"/>
            </w:pPr>
            <w:r>
              <w:rPr>
                <w:sz w:val="20"/>
              </w:rPr>
              <w:t xml:space="preserve">отсутствие трудоустроенных участников СВО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bookmarkStart w:id="1870" w:name="P1870"/>
          <w:bookmarkEnd w:id="1870"/>
          <w:p>
            <w:pPr>
              <w:pStyle w:val="0"/>
            </w:pPr>
            <w:r>
              <w:rPr>
                <w:sz w:val="20"/>
              </w:rPr>
              <w:t xml:space="preserve">14</w:t>
            </w:r>
          </w:p>
        </w:tc>
        <w:tc>
          <w:tcPr>
            <w:tcW w:w="5102" w:type="dxa"/>
          </w:tcPr>
          <w:p>
            <w:pPr>
              <w:pStyle w:val="0"/>
            </w:pPr>
            <w:r>
              <w:rPr>
                <w:sz w:val="20"/>
              </w:rPr>
              <w:t xml:space="preserve">Итого баллов по критериям оценки </w:t>
            </w:r>
            <w:hyperlink w:history="0" w:anchor="P1876" w:tooltip="&lt;*&gt; В графе 3 по строке 14 ставится значение &quot;0&quot; при наличии хотя бы одной оценки &quot;0 баллов&quot; по критериям оценки с 1-го по 6-й.">
              <w:r>
                <w:rPr>
                  <w:sz w:val="20"/>
                  <w:color w:val="0000ff"/>
                </w:rPr>
                <w:t xml:space="preserve">&lt;*&gt;</w:t>
              </w:r>
            </w:hyperlink>
          </w:p>
        </w:tc>
        <w:tc>
          <w:tcPr>
            <w:tcW w:w="1701" w:type="dxa"/>
          </w:tcPr>
          <w:p>
            <w:pPr>
              <w:pStyle w:val="0"/>
            </w:pPr>
            <w:r>
              <w:rPr>
                <w:sz w:val="20"/>
              </w:rPr>
            </w:r>
          </w:p>
        </w:tc>
        <w:tc>
          <w:tcPr>
            <w:tcW w:w="1701" w:type="dxa"/>
          </w:tcPr>
          <w:p>
            <w:pPr>
              <w:pStyle w:val="0"/>
              <w:jc w:val="center"/>
            </w:pPr>
            <w:r>
              <w:rPr>
                <w:sz w:val="20"/>
              </w:rPr>
              <w:t xml:space="preserve">х</w:t>
            </w:r>
          </w:p>
        </w:tc>
      </w:tr>
    </w:tbl>
    <w:p>
      <w:pPr>
        <w:pStyle w:val="0"/>
        <w:ind w:firstLine="540"/>
        <w:jc w:val="both"/>
      </w:pPr>
      <w:r>
        <w:rPr>
          <w:sz w:val="20"/>
        </w:rPr>
      </w:r>
    </w:p>
    <w:p>
      <w:pPr>
        <w:pStyle w:val="0"/>
        <w:ind w:firstLine="540"/>
        <w:jc w:val="both"/>
      </w:pPr>
      <w:r>
        <w:rPr>
          <w:sz w:val="20"/>
        </w:rPr>
        <w:t xml:space="preserve">--------------------------------</w:t>
      </w:r>
    </w:p>
    <w:bookmarkStart w:id="1876" w:name="P1876"/>
    <w:bookmarkEnd w:id="1876"/>
    <w:p>
      <w:pPr>
        <w:pStyle w:val="0"/>
        <w:spacing w:before="200" w:lineRule="auto"/>
        <w:ind w:firstLine="540"/>
        <w:jc w:val="both"/>
      </w:pPr>
      <w:r>
        <w:rPr>
          <w:sz w:val="20"/>
        </w:rPr>
        <w:t xml:space="preserve">&lt;*&gt; В </w:t>
      </w:r>
      <w:hyperlink w:history="0" w:anchor="P1778" w:tooltip="3">
        <w:r>
          <w:rPr>
            <w:sz w:val="20"/>
            <w:color w:val="0000ff"/>
          </w:rPr>
          <w:t xml:space="preserve">графе 3</w:t>
        </w:r>
      </w:hyperlink>
      <w:r>
        <w:rPr>
          <w:sz w:val="20"/>
        </w:rPr>
        <w:t xml:space="preserve"> по </w:t>
      </w:r>
      <w:hyperlink w:history="0" w:anchor="P1870" w:tooltip="14">
        <w:r>
          <w:rPr>
            <w:sz w:val="20"/>
            <w:color w:val="0000ff"/>
          </w:rPr>
          <w:t xml:space="preserve">строке 14</w:t>
        </w:r>
      </w:hyperlink>
      <w:r>
        <w:rPr>
          <w:sz w:val="20"/>
        </w:rPr>
        <w:t xml:space="preserve"> ставится значение "0" при наличии хотя бы одной оценки "0 баллов" по критериям оценки с 1-го по 6-й.</w:t>
      </w:r>
    </w:p>
    <w:bookmarkStart w:id="1877" w:name="P1877"/>
    <w:bookmarkEnd w:id="1877"/>
    <w:p>
      <w:pPr>
        <w:pStyle w:val="0"/>
        <w:spacing w:before="200" w:lineRule="auto"/>
        <w:ind w:firstLine="540"/>
        <w:jc w:val="both"/>
      </w:pPr>
      <w:r>
        <w:rPr>
          <w:sz w:val="20"/>
        </w:rPr>
        <w:t xml:space="preserve">&lt;**&gt; </w:t>
      </w:r>
      <w:hyperlink w:history="0" w:anchor="P1779" w:tooltip="4">
        <w:r>
          <w:rPr>
            <w:sz w:val="20"/>
            <w:color w:val="0000ff"/>
          </w:rPr>
          <w:t xml:space="preserve">Графа 4</w:t>
        </w:r>
      </w:hyperlink>
      <w:r>
        <w:rPr>
          <w:sz w:val="20"/>
        </w:rPr>
        <w:t xml:space="preserve"> заполняется в случае указания в </w:t>
      </w:r>
      <w:hyperlink w:history="0" w:anchor="P1778" w:tooltip="3">
        <w:r>
          <w:rPr>
            <w:sz w:val="20"/>
            <w:color w:val="0000ff"/>
          </w:rPr>
          <w:t xml:space="preserve">графе 3</w:t>
        </w:r>
      </w:hyperlink>
      <w:r>
        <w:rPr>
          <w:sz w:val="20"/>
        </w:rPr>
        <w:t xml:space="preserve"> оценки "0 баллов" при несоответствии участника отбора, заявки участника отбора положениям,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и (или)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и (или)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и (или)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14</w:t>
        </w:r>
      </w:hyperlink>
      <w:r>
        <w:rPr>
          <w:sz w:val="20"/>
        </w:rPr>
        <w:t xml:space="preserve">, и (или)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и (или)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33</w:t>
        </w:r>
      </w:hyperlink>
      <w:r>
        <w:rPr>
          <w:sz w:val="20"/>
        </w:rPr>
        <w:t xml:space="preserve">, и (или) </w:t>
      </w:r>
      <w:hyperlink w:history="0" w:anchor="P380" w:tooltip="34. Затраты по направлениям, установленным пунктом 33 настоящего Положения,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
        <w:r>
          <w:rPr>
            <w:sz w:val="20"/>
            <w:color w:val="0000ff"/>
          </w:rPr>
          <w:t xml:space="preserve">34</w:t>
        </w:r>
      </w:hyperlink>
      <w:r>
        <w:rPr>
          <w:sz w:val="20"/>
        </w:rPr>
        <w:t xml:space="preserve">, и (или)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Положения.</w:t>
      </w:r>
    </w:p>
    <w:p>
      <w:pPr>
        <w:pStyle w:val="0"/>
        <w:ind w:firstLine="540"/>
        <w:jc w:val="both"/>
      </w:pPr>
      <w:r>
        <w:rPr>
          <w:sz w:val="20"/>
        </w:rPr>
      </w:r>
    </w:p>
    <w:p>
      <w:pPr>
        <w:pStyle w:val="1"/>
        <w:jc w:val="both"/>
      </w:pPr>
      <w:r>
        <w:rPr>
          <w:sz w:val="20"/>
        </w:rPr>
        <w:t xml:space="preserve">    Вывод  по  результатам  рассмотрения  и  оценки  заявки на соответствие</w:t>
      </w:r>
    </w:p>
    <w:p>
      <w:pPr>
        <w:pStyle w:val="1"/>
        <w:jc w:val="both"/>
      </w:pPr>
      <w:r>
        <w:rPr>
          <w:sz w:val="20"/>
        </w:rPr>
        <w:t xml:space="preserve">категориям  и  требованиям  проведения  конкурса  и условиям предоставления</w:t>
      </w:r>
    </w:p>
    <w:p>
      <w:pPr>
        <w:pStyle w:val="1"/>
        <w:jc w:val="both"/>
      </w:pPr>
      <w:r>
        <w:rPr>
          <w:sz w:val="20"/>
        </w:rPr>
        <w:t xml:space="preserve">субсидии (нужное подчеркнуть):</w:t>
      </w:r>
    </w:p>
    <w:p>
      <w:pPr>
        <w:pStyle w:val="1"/>
        <w:jc w:val="both"/>
      </w:pPr>
      <w:r>
        <w:rPr>
          <w:sz w:val="20"/>
        </w:rPr>
        <w:t xml:space="preserve">    соответствует   (наличие  оценки,  превышающей  оценку  "0  баллов"  по</w:t>
      </w:r>
    </w:p>
    <w:p>
      <w:pPr>
        <w:pStyle w:val="1"/>
        <w:jc w:val="both"/>
      </w:pPr>
      <w:r>
        <w:rPr>
          <w:sz w:val="20"/>
        </w:rPr>
        <w:t xml:space="preserve">критериям оценки с 1-го по 6-й в </w:t>
      </w:r>
      <w:hyperlink w:history="0" w:anchor="P1778" w:tooltip="3">
        <w:r>
          <w:rPr>
            <w:sz w:val="20"/>
            <w:color w:val="0000ff"/>
          </w:rPr>
          <w:t xml:space="preserve">графе 3 таблицы</w:t>
        </w:r>
      </w:hyperlink>
      <w:r>
        <w:rPr>
          <w:sz w:val="20"/>
        </w:rPr>
        <w:t xml:space="preserve"> оценок);</w:t>
      </w:r>
    </w:p>
    <w:p>
      <w:pPr>
        <w:pStyle w:val="1"/>
        <w:jc w:val="both"/>
      </w:pPr>
      <w:r>
        <w:rPr>
          <w:sz w:val="20"/>
        </w:rPr>
        <w:t xml:space="preserve">    не  соответствует (наличие хотя бы одной оценки "0 баллов" по критериям</w:t>
      </w:r>
    </w:p>
    <w:p>
      <w:pPr>
        <w:pStyle w:val="1"/>
        <w:jc w:val="both"/>
      </w:pPr>
      <w:r>
        <w:rPr>
          <w:sz w:val="20"/>
        </w:rPr>
        <w:t xml:space="preserve">оценки с 1-го по 6-й в </w:t>
      </w:r>
      <w:hyperlink w:history="0" w:anchor="P1778" w:tooltip="3">
        <w:r>
          <w:rPr>
            <w:sz w:val="20"/>
            <w:color w:val="0000ff"/>
          </w:rPr>
          <w:t xml:space="preserve">графе 3 таблицы</w:t>
        </w:r>
      </w:hyperlink>
      <w:r>
        <w:rPr>
          <w:sz w:val="20"/>
        </w:rPr>
        <w:t xml:space="preserve"> оценок).</w:t>
      </w:r>
    </w:p>
    <w:p>
      <w:pPr>
        <w:pStyle w:val="1"/>
        <w:jc w:val="both"/>
      </w:pPr>
      <w:r>
        <w:rPr>
          <w:sz w:val="20"/>
        </w:rPr>
        <w:t xml:space="preserve">    Итоговое  значение  в  баллах (</w:t>
      </w:r>
      <w:hyperlink w:history="0" w:anchor="P1870" w:tooltip="14">
        <w:r>
          <w:rPr>
            <w:sz w:val="20"/>
            <w:color w:val="0000ff"/>
          </w:rPr>
          <w:t xml:space="preserve">строка 14 таблицы</w:t>
        </w:r>
      </w:hyperlink>
      <w:r>
        <w:rPr>
          <w:sz w:val="20"/>
        </w:rPr>
        <w:t xml:space="preserve"> оценок) по результатам</w:t>
      </w:r>
    </w:p>
    <w:p>
      <w:pPr>
        <w:pStyle w:val="1"/>
        <w:jc w:val="both"/>
      </w:pPr>
      <w:r>
        <w:rPr>
          <w:sz w:val="20"/>
        </w:rPr>
        <w:t xml:space="preserve">рассмотрения  и  оценки  сведений  в  составе  заявки  о  критериях оценки,</w:t>
      </w:r>
    </w:p>
    <w:p>
      <w:pPr>
        <w:pStyle w:val="1"/>
        <w:jc w:val="both"/>
      </w:pPr>
      <w:r>
        <w:rPr>
          <w:sz w:val="20"/>
        </w:rPr>
        <w:t xml:space="preserve">значениях показателей, образующих каждый критерий оценки _________________.</w:t>
      </w:r>
    </w:p>
    <w:p>
      <w:pPr>
        <w:pStyle w:val="1"/>
        <w:jc w:val="both"/>
      </w:pPr>
      <w:r>
        <w:rPr>
          <w:sz w:val="20"/>
        </w:rPr>
      </w:r>
    </w:p>
    <w:p>
      <w:pPr>
        <w:pStyle w:val="1"/>
        <w:jc w:val="both"/>
      </w:pPr>
      <w:r>
        <w:rPr>
          <w:sz w:val="20"/>
        </w:rPr>
      </w:r>
    </w:p>
    <w:p>
      <w:pPr>
        <w:pStyle w:val="1"/>
        <w:jc w:val="both"/>
      </w:pPr>
      <w:r>
        <w:rPr>
          <w:sz w:val="20"/>
        </w:rPr>
        <w:t xml:space="preserve">Член конкурсной комиссии ___________ 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"__" ___________ 20__ 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6</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919" w:name="P1919"/>
    <w:bookmarkEnd w:id="1919"/>
    <w:p>
      <w:pPr>
        <w:pStyle w:val="0"/>
        <w:jc w:val="center"/>
      </w:pPr>
      <w:r>
        <w:rPr>
          <w:sz w:val="20"/>
        </w:rPr>
        <w:t xml:space="preserve">РЕЗУЛЬТАТЫ</w:t>
      </w:r>
    </w:p>
    <w:p>
      <w:pPr>
        <w:pStyle w:val="0"/>
        <w:jc w:val="center"/>
      </w:pPr>
      <w:r>
        <w:rPr>
          <w:sz w:val="20"/>
        </w:rPr>
        <w:t xml:space="preserve">рассмотрения заявок участников отбора</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4"/>
        <w:gridCol w:w="1609"/>
        <w:gridCol w:w="1954"/>
        <w:gridCol w:w="1894"/>
        <w:gridCol w:w="2074"/>
        <w:gridCol w:w="1084"/>
        <w:gridCol w:w="1084"/>
        <w:gridCol w:w="1084"/>
        <w:gridCol w:w="1084"/>
        <w:gridCol w:w="1084"/>
        <w:gridCol w:w="844"/>
        <w:gridCol w:w="589"/>
        <w:gridCol w:w="1309"/>
        <w:gridCol w:w="589"/>
        <w:gridCol w:w="1354"/>
        <w:gridCol w:w="589"/>
        <w:gridCol w:w="1354"/>
        <w:gridCol w:w="589"/>
        <w:gridCol w:w="844"/>
        <w:gridCol w:w="589"/>
        <w:gridCol w:w="1084"/>
        <w:gridCol w:w="1084"/>
        <w:gridCol w:w="1084"/>
        <w:gridCol w:w="1549"/>
        <w:gridCol w:w="1774"/>
      </w:tblGrid>
      <w:tr>
        <w:tc>
          <w:tcPr>
            <w:tcW w:w="1414" w:type="dxa"/>
            <w:vMerge w:val="restart"/>
          </w:tcPr>
          <w:p>
            <w:pPr>
              <w:pStyle w:val="0"/>
              <w:jc w:val="center"/>
            </w:pPr>
            <w:r>
              <w:rPr>
                <w:sz w:val="20"/>
              </w:rPr>
              <w:t xml:space="preserve">Порядковый номер по дате регистрации заявки</w:t>
            </w:r>
          </w:p>
        </w:tc>
        <w:tc>
          <w:tcPr>
            <w:tcW w:w="1609" w:type="dxa"/>
            <w:vMerge w:val="restart"/>
          </w:tcPr>
          <w:p>
            <w:pPr>
              <w:pStyle w:val="0"/>
              <w:jc w:val="center"/>
            </w:pPr>
            <w:r>
              <w:rPr>
                <w:sz w:val="20"/>
              </w:rPr>
              <w:t xml:space="preserve">Краткое наименование участника отбора</w:t>
            </w:r>
          </w:p>
        </w:tc>
        <w:tc>
          <w:tcPr>
            <w:tcW w:w="1954" w:type="dxa"/>
            <w:vMerge w:val="restart"/>
          </w:tcPr>
          <w:p>
            <w:pPr>
              <w:pStyle w:val="0"/>
              <w:jc w:val="center"/>
            </w:pPr>
            <w:r>
              <w:rPr>
                <w:sz w:val="20"/>
              </w:rPr>
              <w:t xml:space="preserve">Наименование реализуемого в приоритетной отрасли инвестиционного проекта в сфере производства, связанного с созданием нового или развитием (модернизацией) действующего производства товаров (работ, услуг) (далее - Проект)</w:t>
            </w:r>
          </w:p>
        </w:tc>
        <w:tc>
          <w:tcPr>
            <w:tcW w:w="1894" w:type="dxa"/>
            <w:vMerge w:val="restart"/>
          </w:tcPr>
          <w:p>
            <w:pPr>
              <w:pStyle w:val="0"/>
              <w:jc w:val="center"/>
            </w:pPr>
            <w:r>
              <w:rPr>
                <w:sz w:val="20"/>
              </w:rPr>
              <w:t xml:space="preserve">Объем привлеченных участником отбора инвестиций на реализацию Проекта за 2 календарных года, предшествующих году подачи, и в году подачи в период до даты подачи заявки, тыс. рублей</w:t>
            </w:r>
          </w:p>
        </w:tc>
        <w:tc>
          <w:tcPr>
            <w:tcW w:w="2074" w:type="dxa"/>
            <w:vMerge w:val="restart"/>
          </w:tcPr>
          <w:p>
            <w:pPr>
              <w:pStyle w:val="0"/>
              <w:jc w:val="center"/>
            </w:pPr>
            <w:r>
              <w:rPr>
                <w:sz w:val="20"/>
              </w:rPr>
              <w:t xml:space="preserve">Планируемый объем субсидии (сумма заявленной субсидии) за счет средств бюджета города с учетом софинансирования из краевого бюджета, тыс. рублей</w:t>
            </w:r>
          </w:p>
        </w:tc>
        <w:tc>
          <w:tcPr>
            <w:gridSpan w:val="18"/>
            <w:tcW w:w="17322" w:type="dxa"/>
          </w:tcPr>
          <w:p>
            <w:pPr>
              <w:pStyle w:val="0"/>
              <w:jc w:val="center"/>
            </w:pPr>
            <w:r>
              <w:rPr>
                <w:sz w:val="20"/>
              </w:rPr>
              <w:t xml:space="preserve">Значения по критериям оценки на основании оценочных ведомостей и заявок участников отбора:</w:t>
            </w:r>
          </w:p>
        </w:tc>
        <w:tc>
          <w:tcPr>
            <w:tcW w:w="1549" w:type="dxa"/>
            <w:vMerge w:val="restart"/>
          </w:tcPr>
          <w:p>
            <w:pPr>
              <w:pStyle w:val="0"/>
              <w:jc w:val="center"/>
            </w:pPr>
            <w:r>
              <w:rPr>
                <w:sz w:val="20"/>
              </w:rPr>
              <w:t xml:space="preserve">Сумма баллов (определяется как сумма значений граф 6, 7, 8, 9, 10, 12, 14, 16, 18, 20, 21, 22, 23)</w:t>
            </w:r>
          </w:p>
        </w:tc>
        <w:tc>
          <w:tcPr>
            <w:tcW w:w="1774" w:type="dxa"/>
            <w:vMerge w:val="restart"/>
          </w:tcPr>
          <w:p>
            <w:pPr>
              <w:pStyle w:val="0"/>
              <w:jc w:val="center"/>
            </w:pPr>
            <w:r>
              <w:rPr>
                <w:sz w:val="20"/>
              </w:rPr>
              <w:t xml:space="preserve">Итоговый рейтинг участников отбора (порядковый номер по сумме баллов из гр. 24) </w:t>
            </w:r>
            <w:hyperlink w:history="0" w:anchor="P2035" w:tooltip="&lt;3&gt; Итоговый рейтинг участников отбора в графе 25 таблицы формируется по сумме баллов из графы 24 таблицы, включая сведения из графы 1 при необходимости, в следующем порядке ранжирования:">
              <w:r>
                <w:rPr>
                  <w:sz w:val="20"/>
                  <w:color w:val="0000ff"/>
                </w:rPr>
                <w:t xml:space="preserve">&lt;3&gt;</w:t>
              </w:r>
            </w:hyperlink>
            <w:r>
              <w:rPr>
                <w:sz w:val="20"/>
              </w:rPr>
              <w:t xml:space="preserve">, включая сведения из гр. 1 (при необходимости)</w:t>
            </w:r>
          </w:p>
        </w:tc>
      </w:tr>
      <w:tr>
        <w:tc>
          <w:tcPr>
            <w:vMerge w:val="continue"/>
          </w:tcPr>
          <w:p/>
        </w:tc>
        <w:tc>
          <w:tcPr>
            <w:vMerge w:val="continue"/>
          </w:tcPr>
          <w:p/>
        </w:tc>
        <w:tc>
          <w:tcPr>
            <w:vMerge w:val="continue"/>
          </w:tcPr>
          <w:p/>
        </w:tc>
        <w:tc>
          <w:tcPr>
            <w:vMerge w:val="continue"/>
          </w:tcPr>
          <w:p/>
        </w:tc>
        <w:tc>
          <w:tcPr>
            <w:vMerge w:val="continue"/>
          </w:tcPr>
          <w:p/>
        </w:tc>
        <w:tc>
          <w:tcPr>
            <w:tcW w:w="1084" w:type="dxa"/>
            <w:vMerge w:val="restart"/>
          </w:tcPr>
          <w:p>
            <w:pPr>
              <w:pStyle w:val="0"/>
              <w:jc w:val="center"/>
            </w:pPr>
            <w:r>
              <w:rPr>
                <w:sz w:val="20"/>
              </w:rPr>
              <w:t xml:space="preserve">критерий оценки 1, балл</w:t>
            </w:r>
          </w:p>
        </w:tc>
        <w:tc>
          <w:tcPr>
            <w:tcW w:w="1084" w:type="dxa"/>
            <w:vMerge w:val="restart"/>
          </w:tcPr>
          <w:p>
            <w:pPr>
              <w:pStyle w:val="0"/>
              <w:jc w:val="center"/>
            </w:pPr>
            <w:r>
              <w:rPr>
                <w:sz w:val="20"/>
              </w:rPr>
              <w:t xml:space="preserve">критерий оценки 2, балл</w:t>
            </w:r>
          </w:p>
        </w:tc>
        <w:tc>
          <w:tcPr>
            <w:tcW w:w="1084" w:type="dxa"/>
            <w:vMerge w:val="restart"/>
          </w:tcPr>
          <w:p>
            <w:pPr>
              <w:pStyle w:val="0"/>
              <w:jc w:val="center"/>
            </w:pPr>
            <w:r>
              <w:rPr>
                <w:sz w:val="20"/>
              </w:rPr>
              <w:t xml:space="preserve">критерий оценки 3, балл</w:t>
            </w:r>
          </w:p>
        </w:tc>
        <w:tc>
          <w:tcPr>
            <w:tcW w:w="1084" w:type="dxa"/>
            <w:vMerge w:val="restart"/>
          </w:tcPr>
          <w:p>
            <w:pPr>
              <w:pStyle w:val="0"/>
              <w:jc w:val="center"/>
            </w:pPr>
            <w:r>
              <w:rPr>
                <w:sz w:val="20"/>
              </w:rPr>
              <w:t xml:space="preserve">критерий оценки 4, балл</w:t>
            </w:r>
          </w:p>
        </w:tc>
        <w:tc>
          <w:tcPr>
            <w:tcW w:w="1084" w:type="dxa"/>
            <w:vMerge w:val="restart"/>
          </w:tcPr>
          <w:p>
            <w:pPr>
              <w:pStyle w:val="0"/>
              <w:jc w:val="center"/>
            </w:pPr>
            <w:r>
              <w:rPr>
                <w:sz w:val="20"/>
              </w:rPr>
              <w:t xml:space="preserve">критерий оценки 5, балл</w:t>
            </w:r>
          </w:p>
        </w:tc>
        <w:tc>
          <w:tcPr>
            <w:gridSpan w:val="2"/>
            <w:tcW w:w="1433" w:type="dxa"/>
          </w:tcPr>
          <w:p>
            <w:pPr>
              <w:pStyle w:val="0"/>
              <w:jc w:val="center"/>
            </w:pPr>
            <w:r>
              <w:rPr>
                <w:sz w:val="20"/>
              </w:rPr>
              <w:t xml:space="preserve">критерий оценки 6</w:t>
            </w:r>
          </w:p>
        </w:tc>
        <w:tc>
          <w:tcPr>
            <w:gridSpan w:val="2"/>
            <w:tcW w:w="1898" w:type="dxa"/>
          </w:tcPr>
          <w:p>
            <w:pPr>
              <w:pStyle w:val="0"/>
              <w:jc w:val="center"/>
            </w:pPr>
            <w:r>
              <w:rPr>
                <w:sz w:val="20"/>
              </w:rPr>
              <w:t xml:space="preserve">критерий оценки 7 </w:t>
            </w:r>
            <w:hyperlink w:history="0" w:anchor="P2033" w:tooltip="&lt;1&gt; Оценка сведений в составе заявки по критерию оценки &quot;Актуальность и социальная значимость Проекта&quot; на соответствие целям и задачам стратегии социально-экономического развития города Красноярска, утвержденной решением Красноярского городского Совета депутатов от 18.06.2019 N 3-42, приоритетным отраслям в соответствии с подпунктом 6 пункта 2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quot;Создание ус...">
              <w:r>
                <w:rPr>
                  <w:sz w:val="20"/>
                  <w:color w:val="0000ff"/>
                </w:rPr>
                <w:t xml:space="preserve">&lt;1&gt;</w:t>
              </w:r>
            </w:hyperlink>
          </w:p>
        </w:tc>
        <w:tc>
          <w:tcPr>
            <w:gridSpan w:val="2"/>
            <w:tcW w:w="1943" w:type="dxa"/>
          </w:tcPr>
          <w:p>
            <w:pPr>
              <w:pStyle w:val="0"/>
              <w:jc w:val="center"/>
            </w:pPr>
            <w:r>
              <w:rPr>
                <w:sz w:val="20"/>
              </w:rPr>
              <w:t xml:space="preserve">критерий оценки 8</w:t>
            </w:r>
          </w:p>
        </w:tc>
        <w:tc>
          <w:tcPr>
            <w:gridSpan w:val="2"/>
            <w:tcW w:w="1943" w:type="dxa"/>
          </w:tcPr>
          <w:p>
            <w:pPr>
              <w:pStyle w:val="0"/>
              <w:jc w:val="center"/>
            </w:pPr>
            <w:r>
              <w:rPr>
                <w:sz w:val="20"/>
              </w:rPr>
              <w:t xml:space="preserve">критерий оценки 9</w:t>
            </w:r>
          </w:p>
        </w:tc>
        <w:tc>
          <w:tcPr>
            <w:gridSpan w:val="2"/>
            <w:tcW w:w="1433" w:type="dxa"/>
          </w:tcPr>
          <w:p>
            <w:pPr>
              <w:pStyle w:val="0"/>
              <w:jc w:val="center"/>
            </w:pPr>
            <w:r>
              <w:rPr>
                <w:sz w:val="20"/>
              </w:rPr>
              <w:t xml:space="preserve">критерий оценки 10</w:t>
            </w:r>
          </w:p>
        </w:tc>
        <w:tc>
          <w:tcPr>
            <w:tcW w:w="1084" w:type="dxa"/>
          </w:tcPr>
          <w:p>
            <w:pPr>
              <w:pStyle w:val="0"/>
              <w:jc w:val="center"/>
            </w:pPr>
            <w:r>
              <w:rPr>
                <w:sz w:val="20"/>
              </w:rPr>
              <w:t xml:space="preserve">критерий оценки 11</w:t>
            </w:r>
          </w:p>
        </w:tc>
        <w:tc>
          <w:tcPr>
            <w:tcW w:w="1084" w:type="dxa"/>
          </w:tcPr>
          <w:p>
            <w:pPr>
              <w:pStyle w:val="0"/>
              <w:jc w:val="center"/>
            </w:pPr>
            <w:r>
              <w:rPr>
                <w:sz w:val="20"/>
              </w:rPr>
              <w:t xml:space="preserve">критерий оценки 12</w:t>
            </w:r>
          </w:p>
        </w:tc>
        <w:tc>
          <w:tcPr>
            <w:tcW w:w="1084" w:type="dxa"/>
          </w:tcPr>
          <w:p>
            <w:pPr>
              <w:pStyle w:val="0"/>
              <w:jc w:val="center"/>
            </w:pPr>
            <w:r>
              <w:rPr>
                <w:sz w:val="20"/>
              </w:rPr>
              <w:t xml:space="preserve">критерий оценки 13</w:t>
            </w: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44" w:type="dxa"/>
          </w:tcPr>
          <w:p>
            <w:pPr>
              <w:pStyle w:val="0"/>
              <w:jc w:val="center"/>
            </w:pPr>
            <w:r>
              <w:rPr>
                <w:sz w:val="20"/>
              </w:rPr>
              <w:t xml:space="preserve">расчет, ед.</w:t>
            </w:r>
          </w:p>
        </w:tc>
        <w:tc>
          <w:tcPr>
            <w:tcW w:w="589" w:type="dxa"/>
          </w:tcPr>
          <w:p>
            <w:pPr>
              <w:pStyle w:val="0"/>
              <w:jc w:val="center"/>
            </w:pPr>
            <w:r>
              <w:rPr>
                <w:sz w:val="20"/>
              </w:rPr>
              <w:t xml:space="preserve">балл</w:t>
            </w:r>
          </w:p>
        </w:tc>
        <w:tc>
          <w:tcPr>
            <w:tcW w:w="1309" w:type="dxa"/>
          </w:tcPr>
          <w:p>
            <w:pPr>
              <w:pStyle w:val="0"/>
              <w:jc w:val="center"/>
            </w:pPr>
            <w:r>
              <w:rPr>
                <w:sz w:val="20"/>
              </w:rPr>
              <w:t xml:space="preserve">значение </w:t>
            </w:r>
            <w:hyperlink w:history="0" r:id="rId19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из п. 2.4 сведений о реализации Проекта в составе заявки</w:t>
            </w:r>
          </w:p>
        </w:tc>
        <w:tc>
          <w:tcPr>
            <w:tcW w:w="589" w:type="dxa"/>
          </w:tcPr>
          <w:p>
            <w:pPr>
              <w:pStyle w:val="0"/>
              <w:jc w:val="center"/>
            </w:pPr>
            <w:r>
              <w:rPr>
                <w:sz w:val="20"/>
              </w:rPr>
              <w:t xml:space="preserve">балл</w:t>
            </w:r>
          </w:p>
        </w:tc>
        <w:tc>
          <w:tcPr>
            <w:tcW w:w="1354" w:type="dxa"/>
          </w:tcPr>
          <w:p>
            <w:pPr>
              <w:pStyle w:val="0"/>
              <w:jc w:val="center"/>
            </w:pPr>
            <w:r>
              <w:rPr>
                <w:sz w:val="20"/>
              </w:rPr>
              <w:t xml:space="preserve">значения графы 6 в строке 5 таблицы показателей к сведениям о Проекте в составе заявки, %</w:t>
            </w:r>
          </w:p>
        </w:tc>
        <w:tc>
          <w:tcPr>
            <w:tcW w:w="589" w:type="dxa"/>
          </w:tcPr>
          <w:p>
            <w:pPr>
              <w:pStyle w:val="0"/>
              <w:jc w:val="center"/>
            </w:pPr>
            <w:r>
              <w:rPr>
                <w:sz w:val="20"/>
              </w:rPr>
              <w:t xml:space="preserve">балл</w:t>
            </w:r>
          </w:p>
        </w:tc>
        <w:tc>
          <w:tcPr>
            <w:tcW w:w="1354" w:type="dxa"/>
          </w:tcPr>
          <w:p>
            <w:pPr>
              <w:pStyle w:val="0"/>
              <w:jc w:val="center"/>
            </w:pPr>
            <w:r>
              <w:rPr>
                <w:sz w:val="20"/>
              </w:rPr>
              <w:t xml:space="preserve">значение графы 4 в строке 7 таблицы показателей к сведениям о Проекте в составе заявки, ед.</w:t>
            </w:r>
          </w:p>
        </w:tc>
        <w:tc>
          <w:tcPr>
            <w:tcW w:w="589" w:type="dxa"/>
          </w:tcPr>
          <w:p>
            <w:pPr>
              <w:pStyle w:val="0"/>
              <w:jc w:val="center"/>
            </w:pPr>
            <w:r>
              <w:rPr>
                <w:sz w:val="20"/>
              </w:rPr>
              <w:t xml:space="preserve">балл</w:t>
            </w:r>
          </w:p>
        </w:tc>
        <w:tc>
          <w:tcPr>
            <w:tcW w:w="844" w:type="dxa"/>
          </w:tcPr>
          <w:p>
            <w:pPr>
              <w:pStyle w:val="0"/>
              <w:jc w:val="center"/>
            </w:pPr>
            <w:r>
              <w:rPr>
                <w:sz w:val="20"/>
              </w:rPr>
              <w:t xml:space="preserve">расчет, % </w:t>
            </w:r>
            <w:hyperlink w:history="0" w:anchor="P2034" w:tooltip="&lt;2&gt; Прирост дохода субъекта малого и среднего предпринимательства определяется на основании данных, указанных в приложении 2 к Положению.">
              <w:r>
                <w:rPr>
                  <w:sz w:val="20"/>
                  <w:color w:val="0000ff"/>
                </w:rPr>
                <w:t xml:space="preserve">&lt;2&gt;</w:t>
              </w:r>
            </w:hyperlink>
          </w:p>
        </w:tc>
        <w:tc>
          <w:tcPr>
            <w:tcW w:w="589" w:type="dxa"/>
          </w:tcPr>
          <w:p>
            <w:pPr>
              <w:pStyle w:val="0"/>
              <w:jc w:val="center"/>
            </w:pPr>
            <w:r>
              <w:rPr>
                <w:sz w:val="20"/>
              </w:rPr>
              <w:t xml:space="preserve">балл</w:t>
            </w:r>
          </w:p>
        </w:tc>
        <w:tc>
          <w:tcPr>
            <w:tcW w:w="1084" w:type="dxa"/>
          </w:tcPr>
          <w:p>
            <w:pPr>
              <w:pStyle w:val="0"/>
              <w:jc w:val="center"/>
            </w:pPr>
            <w:r>
              <w:rPr>
                <w:sz w:val="20"/>
              </w:rPr>
              <w:t xml:space="preserve">балл</w:t>
            </w:r>
          </w:p>
        </w:tc>
        <w:tc>
          <w:tcPr>
            <w:tcW w:w="1084" w:type="dxa"/>
          </w:tcPr>
          <w:p>
            <w:pPr>
              <w:pStyle w:val="0"/>
              <w:jc w:val="center"/>
            </w:pPr>
            <w:r>
              <w:rPr>
                <w:sz w:val="20"/>
              </w:rPr>
              <w:t xml:space="preserve">балл</w:t>
            </w:r>
          </w:p>
        </w:tc>
        <w:tc>
          <w:tcPr>
            <w:tcW w:w="1084" w:type="dxa"/>
          </w:tcPr>
          <w:p>
            <w:pPr>
              <w:pStyle w:val="0"/>
              <w:jc w:val="center"/>
            </w:pPr>
            <w:r>
              <w:rPr>
                <w:sz w:val="20"/>
              </w:rPr>
              <w:t xml:space="preserve">балл</w:t>
            </w:r>
          </w:p>
        </w:tc>
        <w:tc>
          <w:tcPr>
            <w:vMerge w:val="continue"/>
          </w:tcPr>
          <w:p/>
        </w:tc>
        <w:tc>
          <w:tcPr>
            <w:vMerge w:val="continue"/>
          </w:tcPr>
          <w:p/>
        </w:tc>
      </w:tr>
      <w:tr>
        <w:tc>
          <w:tcPr>
            <w:tcW w:w="1414" w:type="dxa"/>
          </w:tcPr>
          <w:p>
            <w:pPr>
              <w:pStyle w:val="0"/>
              <w:jc w:val="center"/>
            </w:pPr>
            <w:r>
              <w:rPr>
                <w:sz w:val="20"/>
              </w:rPr>
              <w:t xml:space="preserve">1</w:t>
            </w:r>
          </w:p>
        </w:tc>
        <w:tc>
          <w:tcPr>
            <w:tcW w:w="1609" w:type="dxa"/>
          </w:tcPr>
          <w:p>
            <w:pPr>
              <w:pStyle w:val="0"/>
              <w:jc w:val="center"/>
            </w:pPr>
            <w:r>
              <w:rPr>
                <w:sz w:val="20"/>
              </w:rPr>
              <w:t xml:space="preserve">2</w:t>
            </w:r>
          </w:p>
        </w:tc>
        <w:tc>
          <w:tcPr>
            <w:tcW w:w="1954" w:type="dxa"/>
          </w:tcPr>
          <w:p>
            <w:pPr>
              <w:pStyle w:val="0"/>
              <w:jc w:val="center"/>
            </w:pPr>
            <w:r>
              <w:rPr>
                <w:sz w:val="20"/>
              </w:rPr>
              <w:t xml:space="preserve">3</w:t>
            </w:r>
          </w:p>
        </w:tc>
        <w:tc>
          <w:tcPr>
            <w:tcW w:w="1894" w:type="dxa"/>
          </w:tcPr>
          <w:p>
            <w:pPr>
              <w:pStyle w:val="0"/>
              <w:jc w:val="center"/>
            </w:pPr>
            <w:r>
              <w:rPr>
                <w:sz w:val="20"/>
              </w:rPr>
              <w:t xml:space="preserve">4</w:t>
            </w:r>
          </w:p>
        </w:tc>
        <w:tc>
          <w:tcPr>
            <w:tcW w:w="2074" w:type="dxa"/>
          </w:tcPr>
          <w:p>
            <w:pPr>
              <w:pStyle w:val="0"/>
              <w:jc w:val="center"/>
            </w:pPr>
            <w:r>
              <w:rPr>
                <w:sz w:val="20"/>
              </w:rPr>
              <w:t xml:space="preserve">5</w:t>
            </w:r>
          </w:p>
        </w:tc>
        <w:tc>
          <w:tcPr>
            <w:tcW w:w="1084" w:type="dxa"/>
          </w:tcPr>
          <w:p>
            <w:pPr>
              <w:pStyle w:val="0"/>
              <w:jc w:val="center"/>
            </w:pPr>
            <w:r>
              <w:rPr>
                <w:sz w:val="20"/>
              </w:rPr>
              <w:t xml:space="preserve">6</w:t>
            </w:r>
          </w:p>
        </w:tc>
        <w:tc>
          <w:tcPr>
            <w:tcW w:w="1084" w:type="dxa"/>
          </w:tcPr>
          <w:p>
            <w:pPr>
              <w:pStyle w:val="0"/>
              <w:jc w:val="center"/>
            </w:pPr>
            <w:r>
              <w:rPr>
                <w:sz w:val="20"/>
              </w:rPr>
              <w:t xml:space="preserve">7</w:t>
            </w:r>
          </w:p>
        </w:tc>
        <w:tc>
          <w:tcPr>
            <w:tcW w:w="1084" w:type="dxa"/>
          </w:tcPr>
          <w:p>
            <w:pPr>
              <w:pStyle w:val="0"/>
              <w:jc w:val="center"/>
            </w:pPr>
            <w:r>
              <w:rPr>
                <w:sz w:val="20"/>
              </w:rPr>
              <w:t xml:space="preserve">8</w:t>
            </w:r>
          </w:p>
        </w:tc>
        <w:tc>
          <w:tcPr>
            <w:tcW w:w="1084" w:type="dxa"/>
          </w:tcPr>
          <w:p>
            <w:pPr>
              <w:pStyle w:val="0"/>
              <w:jc w:val="center"/>
            </w:pPr>
            <w:r>
              <w:rPr>
                <w:sz w:val="20"/>
              </w:rPr>
              <w:t xml:space="preserve">9</w:t>
            </w:r>
          </w:p>
        </w:tc>
        <w:tc>
          <w:tcPr>
            <w:tcW w:w="1084" w:type="dxa"/>
          </w:tcPr>
          <w:p>
            <w:pPr>
              <w:pStyle w:val="0"/>
              <w:jc w:val="center"/>
            </w:pPr>
            <w:r>
              <w:rPr>
                <w:sz w:val="20"/>
              </w:rPr>
              <w:t xml:space="preserve">10</w:t>
            </w:r>
          </w:p>
        </w:tc>
        <w:tc>
          <w:tcPr>
            <w:tcW w:w="844" w:type="dxa"/>
          </w:tcPr>
          <w:p>
            <w:pPr>
              <w:pStyle w:val="0"/>
              <w:jc w:val="center"/>
            </w:pPr>
            <w:r>
              <w:rPr>
                <w:sz w:val="20"/>
              </w:rPr>
              <w:t xml:space="preserve">11</w:t>
            </w:r>
          </w:p>
        </w:tc>
        <w:tc>
          <w:tcPr>
            <w:tcW w:w="589" w:type="dxa"/>
          </w:tcPr>
          <w:p>
            <w:pPr>
              <w:pStyle w:val="0"/>
              <w:jc w:val="center"/>
            </w:pPr>
            <w:r>
              <w:rPr>
                <w:sz w:val="20"/>
              </w:rPr>
              <w:t xml:space="preserve">12</w:t>
            </w:r>
          </w:p>
        </w:tc>
        <w:tc>
          <w:tcPr>
            <w:tcW w:w="1309" w:type="dxa"/>
          </w:tcPr>
          <w:p>
            <w:pPr>
              <w:pStyle w:val="0"/>
              <w:jc w:val="center"/>
            </w:pPr>
            <w:r>
              <w:rPr>
                <w:sz w:val="20"/>
              </w:rPr>
              <w:t xml:space="preserve">13</w:t>
            </w:r>
          </w:p>
        </w:tc>
        <w:tc>
          <w:tcPr>
            <w:tcW w:w="589" w:type="dxa"/>
          </w:tcPr>
          <w:p>
            <w:pPr>
              <w:pStyle w:val="0"/>
              <w:jc w:val="center"/>
            </w:pPr>
            <w:r>
              <w:rPr>
                <w:sz w:val="20"/>
              </w:rPr>
              <w:t xml:space="preserve">14</w:t>
            </w:r>
          </w:p>
        </w:tc>
        <w:tc>
          <w:tcPr>
            <w:tcW w:w="1354" w:type="dxa"/>
          </w:tcPr>
          <w:p>
            <w:pPr>
              <w:pStyle w:val="0"/>
              <w:jc w:val="center"/>
            </w:pPr>
            <w:r>
              <w:rPr>
                <w:sz w:val="20"/>
              </w:rPr>
              <w:t xml:space="preserve">15</w:t>
            </w:r>
          </w:p>
        </w:tc>
        <w:tc>
          <w:tcPr>
            <w:tcW w:w="589" w:type="dxa"/>
          </w:tcPr>
          <w:p>
            <w:pPr>
              <w:pStyle w:val="0"/>
              <w:jc w:val="center"/>
            </w:pPr>
            <w:r>
              <w:rPr>
                <w:sz w:val="20"/>
              </w:rPr>
              <w:t xml:space="preserve">16</w:t>
            </w:r>
          </w:p>
        </w:tc>
        <w:tc>
          <w:tcPr>
            <w:tcW w:w="1354" w:type="dxa"/>
          </w:tcPr>
          <w:p>
            <w:pPr>
              <w:pStyle w:val="0"/>
              <w:jc w:val="center"/>
            </w:pPr>
            <w:r>
              <w:rPr>
                <w:sz w:val="20"/>
              </w:rPr>
              <w:t xml:space="preserve">17</w:t>
            </w:r>
          </w:p>
        </w:tc>
        <w:tc>
          <w:tcPr>
            <w:tcW w:w="589" w:type="dxa"/>
          </w:tcPr>
          <w:p>
            <w:pPr>
              <w:pStyle w:val="0"/>
              <w:jc w:val="center"/>
            </w:pPr>
            <w:r>
              <w:rPr>
                <w:sz w:val="20"/>
              </w:rPr>
              <w:t xml:space="preserve">18</w:t>
            </w:r>
          </w:p>
        </w:tc>
        <w:tc>
          <w:tcPr>
            <w:tcW w:w="844" w:type="dxa"/>
          </w:tcPr>
          <w:p>
            <w:pPr>
              <w:pStyle w:val="0"/>
              <w:jc w:val="center"/>
            </w:pPr>
            <w:r>
              <w:rPr>
                <w:sz w:val="20"/>
              </w:rPr>
              <w:t xml:space="preserve">19</w:t>
            </w:r>
          </w:p>
        </w:tc>
        <w:tc>
          <w:tcPr>
            <w:tcW w:w="589" w:type="dxa"/>
          </w:tcPr>
          <w:p>
            <w:pPr>
              <w:pStyle w:val="0"/>
              <w:jc w:val="center"/>
            </w:pPr>
            <w:r>
              <w:rPr>
                <w:sz w:val="20"/>
              </w:rPr>
              <w:t xml:space="preserve">20</w:t>
            </w:r>
          </w:p>
        </w:tc>
        <w:tc>
          <w:tcPr>
            <w:tcW w:w="1084" w:type="dxa"/>
          </w:tcPr>
          <w:p>
            <w:pPr>
              <w:pStyle w:val="0"/>
              <w:jc w:val="center"/>
            </w:pPr>
            <w:r>
              <w:rPr>
                <w:sz w:val="20"/>
              </w:rPr>
              <w:t xml:space="preserve">21</w:t>
            </w:r>
          </w:p>
        </w:tc>
        <w:tc>
          <w:tcPr>
            <w:tcW w:w="1084" w:type="dxa"/>
          </w:tcPr>
          <w:p>
            <w:pPr>
              <w:pStyle w:val="0"/>
              <w:jc w:val="center"/>
            </w:pPr>
            <w:r>
              <w:rPr>
                <w:sz w:val="20"/>
              </w:rPr>
              <w:t xml:space="preserve">22</w:t>
            </w:r>
          </w:p>
        </w:tc>
        <w:tc>
          <w:tcPr>
            <w:tcW w:w="1084" w:type="dxa"/>
          </w:tcPr>
          <w:p>
            <w:pPr>
              <w:pStyle w:val="0"/>
              <w:jc w:val="center"/>
            </w:pPr>
            <w:r>
              <w:rPr>
                <w:sz w:val="20"/>
              </w:rPr>
              <w:t xml:space="preserve">23</w:t>
            </w:r>
          </w:p>
        </w:tc>
        <w:tc>
          <w:tcPr>
            <w:tcW w:w="1549" w:type="dxa"/>
          </w:tcPr>
          <w:p>
            <w:pPr>
              <w:pStyle w:val="0"/>
              <w:jc w:val="center"/>
            </w:pPr>
            <w:r>
              <w:rPr>
                <w:sz w:val="20"/>
              </w:rPr>
              <w:t xml:space="preserve">24</w:t>
            </w:r>
          </w:p>
        </w:tc>
        <w:tc>
          <w:tcPr>
            <w:tcW w:w="1774" w:type="dxa"/>
          </w:tcPr>
          <w:p>
            <w:pPr>
              <w:pStyle w:val="0"/>
              <w:jc w:val="center"/>
            </w:pPr>
            <w:r>
              <w:rPr>
                <w:sz w:val="20"/>
              </w:rPr>
              <w:t xml:space="preserve">25</w:t>
            </w:r>
          </w:p>
        </w:tc>
      </w:tr>
      <w:tr>
        <w:tc>
          <w:tcPr>
            <w:tcW w:w="1414" w:type="dxa"/>
          </w:tcPr>
          <w:p>
            <w:pPr>
              <w:pStyle w:val="0"/>
            </w:pPr>
            <w:r>
              <w:rPr>
                <w:sz w:val="20"/>
              </w:rPr>
            </w:r>
          </w:p>
        </w:tc>
        <w:tc>
          <w:tcPr>
            <w:tcW w:w="1609" w:type="dxa"/>
          </w:tcPr>
          <w:p>
            <w:pPr>
              <w:pStyle w:val="0"/>
            </w:pPr>
            <w:r>
              <w:rPr>
                <w:sz w:val="20"/>
              </w:rPr>
            </w:r>
          </w:p>
        </w:tc>
        <w:tc>
          <w:tcPr>
            <w:tcW w:w="1954" w:type="dxa"/>
          </w:tcPr>
          <w:p>
            <w:pPr>
              <w:pStyle w:val="0"/>
            </w:pPr>
            <w:r>
              <w:rPr>
                <w:sz w:val="20"/>
              </w:rPr>
            </w:r>
          </w:p>
        </w:tc>
        <w:tc>
          <w:tcPr>
            <w:tcW w:w="1894" w:type="dxa"/>
          </w:tcPr>
          <w:p>
            <w:pPr>
              <w:pStyle w:val="0"/>
            </w:pPr>
            <w:r>
              <w:rPr>
                <w:sz w:val="20"/>
              </w:rPr>
            </w:r>
          </w:p>
        </w:tc>
        <w:tc>
          <w:tcPr>
            <w:tcW w:w="207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309"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549" w:type="dxa"/>
          </w:tcPr>
          <w:p>
            <w:pPr>
              <w:pStyle w:val="0"/>
            </w:pPr>
            <w:r>
              <w:rPr>
                <w:sz w:val="20"/>
              </w:rPr>
            </w:r>
          </w:p>
        </w:tc>
        <w:tc>
          <w:tcPr>
            <w:tcW w:w="1774" w:type="dxa"/>
          </w:tcPr>
          <w:p>
            <w:pPr>
              <w:pStyle w:val="0"/>
            </w:pPr>
            <w:r>
              <w:rPr>
                <w:sz w:val="20"/>
              </w:rPr>
            </w:r>
          </w:p>
        </w:tc>
      </w:tr>
      <w:tr>
        <w:tc>
          <w:tcPr>
            <w:tcW w:w="1414" w:type="dxa"/>
          </w:tcPr>
          <w:p>
            <w:pPr>
              <w:pStyle w:val="0"/>
            </w:pPr>
            <w:r>
              <w:rPr>
                <w:sz w:val="20"/>
              </w:rPr>
            </w:r>
          </w:p>
        </w:tc>
        <w:tc>
          <w:tcPr>
            <w:tcW w:w="1609" w:type="dxa"/>
          </w:tcPr>
          <w:p>
            <w:pPr>
              <w:pStyle w:val="0"/>
            </w:pPr>
            <w:r>
              <w:rPr>
                <w:sz w:val="20"/>
              </w:rPr>
            </w:r>
          </w:p>
        </w:tc>
        <w:tc>
          <w:tcPr>
            <w:tcW w:w="1954" w:type="dxa"/>
          </w:tcPr>
          <w:p>
            <w:pPr>
              <w:pStyle w:val="0"/>
            </w:pPr>
            <w:r>
              <w:rPr>
                <w:sz w:val="20"/>
              </w:rPr>
            </w:r>
          </w:p>
        </w:tc>
        <w:tc>
          <w:tcPr>
            <w:tcW w:w="1894" w:type="dxa"/>
          </w:tcPr>
          <w:p>
            <w:pPr>
              <w:pStyle w:val="0"/>
            </w:pPr>
            <w:r>
              <w:rPr>
                <w:sz w:val="20"/>
              </w:rPr>
            </w:r>
          </w:p>
        </w:tc>
        <w:tc>
          <w:tcPr>
            <w:tcW w:w="207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309"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549" w:type="dxa"/>
          </w:tcPr>
          <w:p>
            <w:pPr>
              <w:pStyle w:val="0"/>
            </w:pPr>
            <w:r>
              <w:rPr>
                <w:sz w:val="20"/>
              </w:rPr>
            </w:r>
          </w:p>
        </w:tc>
        <w:tc>
          <w:tcPr>
            <w:tcW w:w="177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2033" w:name="P2033"/>
    <w:bookmarkEnd w:id="2033"/>
    <w:p>
      <w:pPr>
        <w:pStyle w:val="0"/>
        <w:spacing w:before="200" w:lineRule="auto"/>
        <w:ind w:firstLine="540"/>
        <w:jc w:val="both"/>
      </w:pPr>
      <w:r>
        <w:rPr>
          <w:sz w:val="20"/>
        </w:rPr>
        <w:t xml:space="preserve">&lt;1&gt; Оценка сведений в составе заявки по критерию оценки "Актуальность и социальная значимость Проекта" на соответствие целям и задачам </w:t>
      </w:r>
      <w:hyperlink w:history="0" r:id="rId200" w:tooltip="Решение Красноярского городского Совета депутатов от 18.06.2019 N 3-42 &quot;О стратегии социально-экономического развития города Красноярска до 2030 года&quot; {КонсультантПлюс}">
        <w:r>
          <w:rPr>
            <w:sz w:val="20"/>
            <w:color w:val="0000ff"/>
          </w:rPr>
          <w:t xml:space="preserve">стратегии</w:t>
        </w:r>
      </w:hyperlink>
      <w:r>
        <w:rPr>
          <w:sz w:val="20"/>
        </w:rPr>
        <w:t xml:space="preserve"> социально-экономического развития города Красноярска, утвержденной решением Красноярского городского Совета депутатов от 18.06.2019 N 3-42, приоритетным отраслям в соответствии с </w:t>
      </w:r>
      <w:hyperlink w:history="0" w:anchor="P69" w:tooltip="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
        <w:r>
          <w:rPr>
            <w:sz w:val="20"/>
            <w:color w:val="0000ff"/>
          </w:rPr>
          <w:t xml:space="preserve">подпунктом 6 пункта 2</w:t>
        </w:r>
      </w:hyperlink>
      <w:r>
        <w:rPr>
          <w:sz w:val="20"/>
        </w:rPr>
        <w:t xml:space="preserve"> Положения, видам предпринимательской деятельности, приоритетным для оказания поддержки за счет средств бюджета города в рамках муниципальной </w:t>
      </w:r>
      <w:hyperlink w:history="0" r:id="rId201" w:tooltip="Постановление администрации г. Красноярска от 14.11.2022 N 1002 (ред. от 13.11.2025) &quot;Об утверждении муниципальной программы &quot;Создание условий для развития предпринимательства в городе Красноярске&quot; {КонсультантПлюс}">
        <w:r>
          <w:rPr>
            <w:sz w:val="20"/>
            <w:color w:val="0000ff"/>
          </w:rPr>
          <w:t xml:space="preserve">программы</w:t>
        </w:r>
      </w:hyperlink>
      <w:r>
        <w:rPr>
          <w:sz w:val="20"/>
        </w:rPr>
        <w:t xml:space="preserve"> "Создание условий для развития предпринимательства в городе Красноярске", установленных приложением к муниципальной программе, утвержденной постановлением администрации города Красноярска от 14.11.2022 N 1002.</w:t>
      </w:r>
    </w:p>
    <w:bookmarkStart w:id="2034" w:name="P2034"/>
    <w:bookmarkEnd w:id="2034"/>
    <w:p>
      <w:pPr>
        <w:pStyle w:val="0"/>
        <w:spacing w:before="200" w:lineRule="auto"/>
        <w:ind w:firstLine="540"/>
        <w:jc w:val="both"/>
      </w:pPr>
      <w:r>
        <w:rPr>
          <w:sz w:val="20"/>
        </w:rPr>
        <w:t xml:space="preserve">&lt;2&gt; Прирост дохода субъекта малого и среднего предпринимательства определяется на основании данных, указанных в </w:t>
      </w:r>
      <w:hyperlink w:history="0" w:anchor="P1142" w:tooltip="                                 СВЕДЕНИЯ">
        <w:r>
          <w:rPr>
            <w:sz w:val="20"/>
            <w:color w:val="0000ff"/>
          </w:rPr>
          <w:t xml:space="preserve">приложении 2</w:t>
        </w:r>
      </w:hyperlink>
      <w:r>
        <w:rPr>
          <w:sz w:val="20"/>
        </w:rPr>
        <w:t xml:space="preserve"> к Положению.</w:t>
      </w:r>
    </w:p>
    <w:bookmarkStart w:id="2035" w:name="P2035"/>
    <w:bookmarkEnd w:id="2035"/>
    <w:p>
      <w:pPr>
        <w:pStyle w:val="0"/>
        <w:spacing w:before="200" w:lineRule="auto"/>
        <w:ind w:firstLine="540"/>
        <w:jc w:val="both"/>
      </w:pPr>
      <w:r>
        <w:rPr>
          <w:sz w:val="20"/>
        </w:rPr>
        <w:t xml:space="preserve">&lt;3&gt; Итоговый рейтинг участников отбора в графе 25 таблицы формируется по сумме баллов из графы 24 таблицы, включая сведения из графы 1 при необходимости, в следующем порядке ранжирования:</w:t>
      </w:r>
    </w:p>
    <w:p>
      <w:pPr>
        <w:pStyle w:val="0"/>
        <w:spacing w:before="200" w:lineRule="auto"/>
        <w:ind w:firstLine="540"/>
        <w:jc w:val="both"/>
      </w:pPr>
      <w:r>
        <w:rPr>
          <w:sz w:val="20"/>
        </w:rPr>
        <w:t xml:space="preserve">в графе 25 таблицы результатов рассмотрения заявок участников отбора: максимальный проходной балл составляет 100 баллов, минимальный проходной балл - 30 баллов. Участнику отбора, набравшему максимальное количество баллов, присваивается 1-е место в итоговом рейтинге участников отбора (далее - таблица).</w:t>
      </w:r>
    </w:p>
    <w:p>
      <w:pPr>
        <w:pStyle w:val="0"/>
        <w:spacing w:before="200" w:lineRule="auto"/>
        <w:ind w:firstLine="540"/>
        <w:jc w:val="both"/>
      </w:pPr>
      <w:r>
        <w:rPr>
          <w:sz w:val="20"/>
        </w:rPr>
        <w:t xml:space="preserve">При равенстве значений итоговой суммы баллов по всем критериям оценки в баллах в графе 25 таблицы более высокий рейтинг отдается участнику отбора, у которого в графе 1 таблицы наиболее меньший порядковый номер по дате регистрации заявки в ГИИС "Электронный бюджет".</w:t>
      </w:r>
    </w:p>
    <w:p>
      <w:pPr>
        <w:pStyle w:val="0"/>
        <w:spacing w:before="200" w:lineRule="auto"/>
        <w:ind w:firstLine="540"/>
        <w:jc w:val="both"/>
      </w:pPr>
      <w:r>
        <w:rPr>
          <w:sz w:val="20"/>
        </w:rPr>
        <w:t xml:space="preserve">В графах 24, 25 таблицы ставятся прочерки в случае если участнику отбора хотя бы в одной из граф 6 - 10 и 12 таблицы комиссией присваивается значение "0" и (или) если значение в графе 24 таблицы сложилось меньше значения минимального проходного балла (30 баллов) с отражением в протоколе подведения итогов конкурса оснований (причин) отклонения заявки (отказа в предоставлении субсидии) в соответствии с </w:t>
      </w:r>
      <w:hyperlink w:history="0" w:anchor="P339" w:tooltip="27. Основаниями для отклонения заявок при проведении конкурса являются:">
        <w:r>
          <w:rPr>
            <w:sz w:val="20"/>
            <w:color w:val="0000ff"/>
          </w:rPr>
          <w:t xml:space="preserve">пунктами 27</w:t>
        </w:r>
      </w:hyperlink>
      <w:r>
        <w:rPr>
          <w:sz w:val="20"/>
        </w:rPr>
        <w:t xml:space="preserve">, </w:t>
      </w:r>
      <w:hyperlink w:history="0" w:anchor="P382" w:tooltip="36. Основаниями для отказа получателю субсидии в предоставлении субсидии при проведении конкурса являются:">
        <w:r>
          <w:rPr>
            <w:sz w:val="20"/>
            <w:color w:val="0000ff"/>
          </w:rPr>
          <w:t xml:space="preserve">36</w:t>
        </w:r>
      </w:hyperlink>
      <w:r>
        <w:rPr>
          <w:sz w:val="20"/>
        </w:rPr>
        <w:t xml:space="preserve"> Положения.</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189"/>
      <w:headerReference w:type="first" r:id="rId189"/>
      <w:footerReference w:type="default" r:id="rId190"/>
      <w:footerReference w:type="first" r:id="rId190"/>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14.11.2022 N 987</w:t>
            <w:br/>
            <w:t>(ред. от 17.06.2026)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14.11.2022 N 987</w:t>
            <w:br/>
            <w:t>(ред. от 17.06.2026)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0118" TargetMode="External"/><Relationship Id="rId21" Type="http://schemas.openxmlformats.org/officeDocument/2006/relationships/hyperlink" Target="https://login.consultant.ru/link/?req=doc&amp;base=RLAW123&amp;n=378392&amp;dst=100006" TargetMode="External"/><Relationship Id="rId42" Type="http://schemas.openxmlformats.org/officeDocument/2006/relationships/hyperlink" Target="https://login.consultant.ru/link/?req=doc&amp;base=LAW&amp;n=538095&amp;dst=102830" TargetMode="External"/><Relationship Id="rId63" Type="http://schemas.openxmlformats.org/officeDocument/2006/relationships/hyperlink" Target="https://login.consultant.ru/link/?req=doc&amp;base=LAW&amp;n=537945" TargetMode="External"/><Relationship Id="rId84" Type="http://schemas.openxmlformats.org/officeDocument/2006/relationships/hyperlink" Target="https://login.consultant.ru/link/?req=doc&amp;base=LAW&amp;n=538095&amp;dst=105626" TargetMode="External"/><Relationship Id="rId138" Type="http://schemas.openxmlformats.org/officeDocument/2006/relationships/hyperlink" Target="https://login.consultant.ru/link/?req=doc&amp;base=LAW&amp;n=537945&amp;dst=349" TargetMode="External"/><Relationship Id="rId159" Type="http://schemas.openxmlformats.org/officeDocument/2006/relationships/hyperlink" Target="https://login.consultant.ru/link/?req=doc&amp;base=LAW&amp;n=538095&amp;dst=102830" TargetMode="External"/><Relationship Id="rId170" Type="http://schemas.openxmlformats.org/officeDocument/2006/relationships/hyperlink" Target="https://login.consultant.ru/link/?req=doc&amp;base=LAW&amp;n=538095&amp;dst=105626" TargetMode="External"/><Relationship Id="rId191" Type="http://schemas.openxmlformats.org/officeDocument/2006/relationships/hyperlink" Target="https://login.consultant.ru/link/?req=doc&amp;base=LAW&amp;n=520677&amp;dst=4271" TargetMode="External"/><Relationship Id="rId107" Type="http://schemas.openxmlformats.org/officeDocument/2006/relationships/hyperlink" Target="https://login.consultant.ru/link/?req=doc&amp;base=RLAW123&amp;n=378392&amp;dst=100037" TargetMode="External"/><Relationship Id="rId11" Type="http://schemas.openxmlformats.org/officeDocument/2006/relationships/hyperlink" Target="https://login.consultant.ru/link/?req=doc&amp;base=RLAW123&amp;n=359429&amp;dst=100005" TargetMode="External"/><Relationship Id="rId32" Type="http://schemas.openxmlformats.org/officeDocument/2006/relationships/hyperlink" Target="https://login.consultant.ru/link/?req=doc&amp;base=LAW&amp;n=537945" TargetMode="External"/><Relationship Id="rId53" Type="http://schemas.openxmlformats.org/officeDocument/2006/relationships/hyperlink" Target="https://login.consultant.ru/link/?req=doc&amp;base=LAW&amp;n=538095&amp;dst=105626" TargetMode="External"/><Relationship Id="rId74" Type="http://schemas.openxmlformats.org/officeDocument/2006/relationships/hyperlink" Target="https://login.consultant.ru/link/?req=doc&amp;base=LAW&amp;n=538095&amp;dst=102885" TargetMode="External"/><Relationship Id="rId128" Type="http://schemas.openxmlformats.org/officeDocument/2006/relationships/hyperlink" Target="https://login.consultant.ru/link/?req=doc&amp;base=RLAW123&amp;n=378392&amp;dst=100065" TargetMode="External"/><Relationship Id="rId149" Type="http://schemas.openxmlformats.org/officeDocument/2006/relationships/hyperlink" Target="https://login.consultant.ru/link/?req=doc&amp;base=LAW&amp;n=537945&amp;dst=10013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38095" TargetMode="External"/><Relationship Id="rId160" Type="http://schemas.openxmlformats.org/officeDocument/2006/relationships/hyperlink" Target="https://login.consultant.ru/link/?req=doc&amp;base=LAW&amp;n=538095&amp;dst=102885" TargetMode="External"/><Relationship Id="rId181" Type="http://schemas.openxmlformats.org/officeDocument/2006/relationships/hyperlink" Target="https://rmsp-pp.nalog.ru" TargetMode="External"/><Relationship Id="rId22" Type="http://schemas.openxmlformats.org/officeDocument/2006/relationships/hyperlink" Target="https://login.consultant.ru/link/?req=doc&amp;base=RLAW123&amp;n=310164&amp;dst=100006" TargetMode="External"/><Relationship Id="rId43" Type="http://schemas.openxmlformats.org/officeDocument/2006/relationships/hyperlink" Target="https://login.consultant.ru/link/?req=doc&amp;base=LAW&amp;n=538095&amp;dst=102885" TargetMode="External"/><Relationship Id="rId64" Type="http://schemas.openxmlformats.org/officeDocument/2006/relationships/hyperlink" Target="https://login.consultant.ru/link/?req=doc&amp;base=LAW&amp;n=538095" TargetMode="External"/><Relationship Id="rId118" Type="http://schemas.openxmlformats.org/officeDocument/2006/relationships/hyperlink" Target="https://login.consultant.ru/link/?req=doc&amp;base=RLAW123&amp;n=378280" TargetMode="External"/><Relationship Id="rId139" Type="http://schemas.openxmlformats.org/officeDocument/2006/relationships/hyperlink" Target="https://login.consultant.ru/link/?req=doc&amp;base=RLAW123&amp;n=378392&amp;dst=100110" TargetMode="External"/><Relationship Id="rId85" Type="http://schemas.openxmlformats.org/officeDocument/2006/relationships/hyperlink" Target="https://login.consultant.ru/link/?req=doc&amp;base=LAW&amp;n=537945&amp;dst=100138" TargetMode="External"/><Relationship Id="rId150" Type="http://schemas.openxmlformats.org/officeDocument/2006/relationships/hyperlink" Target="https://login.consultant.ru/link/?req=doc&amp;base=LAW&amp;n=537945&amp;dst=588" TargetMode="External"/><Relationship Id="rId171" Type="http://schemas.openxmlformats.org/officeDocument/2006/relationships/hyperlink" Target="https://login.consultant.ru/link/?req=doc&amp;base=LAW&amp;n=121087&amp;dst=100142" TargetMode="External"/><Relationship Id="rId192" Type="http://schemas.openxmlformats.org/officeDocument/2006/relationships/hyperlink" Target="https://login.consultant.ru/link/?req=doc&amp;base=LAW&amp;n=520677&amp;dst=4282" TargetMode="External"/><Relationship Id="rId12" Type="http://schemas.openxmlformats.org/officeDocument/2006/relationships/hyperlink" Target="https://login.consultant.ru/link/?req=doc&amp;base=RLAW123&amp;n=361740&amp;dst=100005" TargetMode="External"/><Relationship Id="rId33" Type="http://schemas.openxmlformats.org/officeDocument/2006/relationships/hyperlink" Target="https://login.consultant.ru/link/?req=doc&amp;base=LAW&amp;n=538095" TargetMode="External"/><Relationship Id="rId108" Type="http://schemas.openxmlformats.org/officeDocument/2006/relationships/hyperlink" Target="https://login.consultant.ru/link/?req=doc&amp;base=LAW&amp;n=517892&amp;dst=100022" TargetMode="External"/><Relationship Id="rId129" Type="http://schemas.openxmlformats.org/officeDocument/2006/relationships/hyperlink" Target="https://login.consultant.ru/link/?req=doc&amp;base=RLAW123&amp;n=378392&amp;dst=100072" TargetMode="External"/><Relationship Id="rId54" Type="http://schemas.openxmlformats.org/officeDocument/2006/relationships/hyperlink" Target="https://login.consultant.ru/link/?req=doc&amp;base=LAW&amp;n=524066&amp;dst=2428" TargetMode="External"/><Relationship Id="rId75" Type="http://schemas.openxmlformats.org/officeDocument/2006/relationships/hyperlink" Target="https://login.consultant.ru/link/?req=doc&amp;base=LAW&amp;n=538095&amp;dst=103016" TargetMode="External"/><Relationship Id="rId96" Type="http://schemas.openxmlformats.org/officeDocument/2006/relationships/hyperlink" Target="https://login.consultant.ru/link/?req=doc&amp;base=LAW&amp;n=538095" TargetMode="External"/><Relationship Id="rId140" Type="http://schemas.openxmlformats.org/officeDocument/2006/relationships/hyperlink" Target="https://login.consultant.ru/link/?req=doc&amp;base=RLAW123&amp;n=374518" TargetMode="External"/><Relationship Id="rId161" Type="http://schemas.openxmlformats.org/officeDocument/2006/relationships/hyperlink" Target="https://login.consultant.ru/link/?req=doc&amp;base=LAW&amp;n=538095&amp;dst=103016" TargetMode="External"/><Relationship Id="rId182" Type="http://schemas.openxmlformats.org/officeDocument/2006/relationships/hyperlink" Target="https://login.consultant.ru/link/?req=doc&amp;base=LAW&amp;n=499769&amp;dst=100260" TargetMode="External"/><Relationship Id="rId6" Type="http://schemas.openxmlformats.org/officeDocument/2006/relationships/header" Target="header1.xml"/><Relationship Id="rId23" Type="http://schemas.openxmlformats.org/officeDocument/2006/relationships/hyperlink" Target="https://login.consultant.ru/link/?req=doc&amp;base=RLAW123&amp;n=359429&amp;dst=100006" TargetMode="External"/><Relationship Id="rId119" Type="http://schemas.openxmlformats.org/officeDocument/2006/relationships/hyperlink" Target="https://login.consultant.ru/link/?req=doc&amp;base=RLAW123&amp;n=378392&amp;dst=100053" TargetMode="External"/><Relationship Id="rId44" Type="http://schemas.openxmlformats.org/officeDocument/2006/relationships/hyperlink" Target="https://login.consultant.ru/link/?req=doc&amp;base=LAW&amp;n=538095&amp;dst=103016" TargetMode="External"/><Relationship Id="rId65" Type="http://schemas.openxmlformats.org/officeDocument/2006/relationships/hyperlink" Target="https://login.consultant.ru/link/?req=doc&amp;base=LAW&amp;n=538095&amp;dst=101052" TargetMode="External"/><Relationship Id="rId86" Type="http://schemas.openxmlformats.org/officeDocument/2006/relationships/hyperlink" Target="https://login.consultant.ru/link/?req=doc&amp;base=LAW&amp;n=537945&amp;dst=433" TargetMode="External"/><Relationship Id="rId130" Type="http://schemas.openxmlformats.org/officeDocument/2006/relationships/hyperlink" Target="https://login.consultant.ru/link/?req=doc&amp;base=RLAW123&amp;n=378392&amp;dst=100081" TargetMode="External"/><Relationship Id="rId151" Type="http://schemas.openxmlformats.org/officeDocument/2006/relationships/hyperlink" Target="https://login.consultant.ru/link/?req=doc&amp;base=LAW&amp;n=538095&amp;dst=101052" TargetMode="External"/><Relationship Id="rId172" Type="http://schemas.openxmlformats.org/officeDocument/2006/relationships/hyperlink" Target="https://login.consultant.ru/link/?req=doc&amp;base=LAW&amp;n=538072" TargetMode="External"/><Relationship Id="rId193" Type="http://schemas.openxmlformats.org/officeDocument/2006/relationships/hyperlink" Target="https://login.consultant.ru/link/?req=doc&amp;base=LAW&amp;n=431832" TargetMode="External"/><Relationship Id="rId13" Type="http://schemas.openxmlformats.org/officeDocument/2006/relationships/hyperlink" Target="https://login.consultant.ru/link/?req=doc&amp;base=RLAW123&amp;n=378392&amp;dst=100005" TargetMode="External"/><Relationship Id="rId109" Type="http://schemas.openxmlformats.org/officeDocument/2006/relationships/hyperlink" Target="https://login.consultant.ru/link/?req=doc&amp;base=LAW&amp;n=523379&amp;dst=100021" TargetMode="External"/><Relationship Id="rId34" Type="http://schemas.openxmlformats.org/officeDocument/2006/relationships/hyperlink" Target="https://login.consultant.ru/link/?req=doc&amp;base=LAW&amp;n=538095&amp;dst=101052" TargetMode="External"/><Relationship Id="rId55" Type="http://schemas.openxmlformats.org/officeDocument/2006/relationships/hyperlink" Target="https://login.consultant.ru/link/?req=doc&amp;base=LAW&amp;n=471020&amp;dst=100023" TargetMode="External"/><Relationship Id="rId76" Type="http://schemas.openxmlformats.org/officeDocument/2006/relationships/hyperlink" Target="https://login.consultant.ru/link/?req=doc&amp;base=LAW&amp;n=538095&amp;dst=104555" TargetMode="External"/><Relationship Id="rId97" Type="http://schemas.openxmlformats.org/officeDocument/2006/relationships/hyperlink" Target="https://login.consultant.ru/link/?req=doc&amp;base=LAW&amp;n=437576" TargetMode="External"/><Relationship Id="rId120" Type="http://schemas.openxmlformats.org/officeDocument/2006/relationships/hyperlink" Target="https://login.consultant.ru/link/?req=doc&amp;base=RLAW123&amp;n=378392&amp;dst=100055" TargetMode="External"/><Relationship Id="rId141" Type="http://schemas.openxmlformats.org/officeDocument/2006/relationships/hyperlink" Target="https://login.consultant.ru/link/?req=doc&amp;base=LAW&amp;n=511724&amp;dst=3704" TargetMode="External"/><Relationship Id="rId7" Type="http://schemas.openxmlformats.org/officeDocument/2006/relationships/footer" Target="footer1.xml"/><Relationship Id="rId162" Type="http://schemas.openxmlformats.org/officeDocument/2006/relationships/hyperlink" Target="https://login.consultant.ru/link/?req=doc&amp;base=LAW&amp;n=538095&amp;dst=104555" TargetMode="External"/><Relationship Id="rId183" Type="http://schemas.openxmlformats.org/officeDocument/2006/relationships/hyperlink" Target="https://login.consultant.ru/link/?req=doc&amp;base=LAW&amp;n=499769&amp;dst=100269" TargetMode="External"/><Relationship Id="rId2" Type="http://schemas.openxmlformats.org/officeDocument/2006/relationships/styles" Target="styles.xml"/><Relationship Id="rId29" Type="http://schemas.openxmlformats.org/officeDocument/2006/relationships/hyperlink" Target="https://login.consultant.ru/link/?req=doc&amp;base=LAW&amp;n=511724&amp;dst=3722" TargetMode="External"/><Relationship Id="rId24" Type="http://schemas.openxmlformats.org/officeDocument/2006/relationships/hyperlink" Target="https://login.consultant.ru/link/?req=doc&amp;base=LAW&amp;n=427244&amp;dst=100006" TargetMode="External"/><Relationship Id="rId40" Type="http://schemas.openxmlformats.org/officeDocument/2006/relationships/hyperlink" Target="https://login.consultant.ru/link/?req=doc&amp;base=LAW&amp;n=538095&amp;dst=102708" TargetMode="External"/><Relationship Id="rId45" Type="http://schemas.openxmlformats.org/officeDocument/2006/relationships/hyperlink" Target="https://login.consultant.ru/link/?req=doc&amp;base=LAW&amp;n=538095&amp;dst=104555" TargetMode="External"/><Relationship Id="rId66" Type="http://schemas.openxmlformats.org/officeDocument/2006/relationships/hyperlink" Target="https://login.consultant.ru/link/?req=doc&amp;base=LAW&amp;n=538095&amp;dst=105488" TargetMode="External"/><Relationship Id="rId87" Type="http://schemas.openxmlformats.org/officeDocument/2006/relationships/hyperlink" Target="https://login.consultant.ru/link/?req=doc&amp;base=RLAW123&amp;n=378392&amp;dst=100013" TargetMode="External"/><Relationship Id="rId110" Type="http://schemas.openxmlformats.org/officeDocument/2006/relationships/hyperlink" Target="https://login.consultant.ru/link/?req=doc&amp;base=RLAW123&amp;n=378392&amp;dst=100041" TargetMode="External"/><Relationship Id="rId115" Type="http://schemas.openxmlformats.org/officeDocument/2006/relationships/hyperlink" Target="https://login.consultant.ru/link/?req=doc&amp;base=RLAW123&amp;n=378392&amp;dst=100049" TargetMode="External"/><Relationship Id="rId131" Type="http://schemas.openxmlformats.org/officeDocument/2006/relationships/hyperlink" Target="https://login.consultant.ru/link/?req=doc&amp;base=RLAW123&amp;n=378392&amp;dst=100091" TargetMode="External"/><Relationship Id="rId136" Type="http://schemas.openxmlformats.org/officeDocument/2006/relationships/hyperlink" Target="https://login.consultant.ru/link/?req=doc&amp;base=RLAW123&amp;n=378392&amp;dst=100098" TargetMode="External"/><Relationship Id="rId157" Type="http://schemas.openxmlformats.org/officeDocument/2006/relationships/hyperlink" Target="https://login.consultant.ru/link/?req=doc&amp;base=LAW&amp;n=538095&amp;dst=102708" TargetMode="External"/><Relationship Id="rId178" Type="http://schemas.openxmlformats.org/officeDocument/2006/relationships/hyperlink" Target="https://login.consultant.ru/link/?req=doc&amp;base=LAW&amp;n=499769&amp;dst=100278" TargetMode="External"/><Relationship Id="rId61" Type="http://schemas.openxmlformats.org/officeDocument/2006/relationships/hyperlink" Target="https://login.consultant.ru/link/?req=doc&amp;base=RLAW123&amp;n=378392&amp;dst=100011" TargetMode="External"/><Relationship Id="rId82" Type="http://schemas.openxmlformats.org/officeDocument/2006/relationships/hyperlink" Target="https://login.consultant.ru/link/?req=doc&amp;base=LAW&amp;n=538095&amp;dst=105871" TargetMode="External"/><Relationship Id="rId152" Type="http://schemas.openxmlformats.org/officeDocument/2006/relationships/hyperlink" Target="https://login.consultant.ru/link/?req=doc&amp;base=LAW&amp;n=538095&amp;dst=105488" TargetMode="External"/><Relationship Id="rId173" Type="http://schemas.openxmlformats.org/officeDocument/2006/relationships/hyperlink" Target="https://login.consultant.ru/link/?req=doc&amp;base=LAW&amp;n=538073&amp;dst=5769" TargetMode="External"/><Relationship Id="rId194" Type="http://schemas.openxmlformats.org/officeDocument/2006/relationships/hyperlink" Target="https://login.consultant.ru/link/?req=doc&amp;base=LAW&amp;n=520677&amp;dst=4295" TargetMode="External"/><Relationship Id="rId199" Type="http://schemas.openxmlformats.org/officeDocument/2006/relationships/hyperlink" Target="https://login.consultant.ru/link/?req=doc&amp;base=LAW&amp;n=538095" TargetMode="External"/><Relationship Id="rId203" Type="http://schemas.openxmlformats.org/officeDocument/2006/relationships/customXml" Target="../customXml/item2.xml"/><Relationship Id="rId19" Type="http://schemas.openxmlformats.org/officeDocument/2006/relationships/hyperlink" Target="https://login.consultant.ru/link/?req=doc&amp;base=RLAW123&amp;n=369401&amp;dst=103" TargetMode="External"/><Relationship Id="rId14" Type="http://schemas.openxmlformats.org/officeDocument/2006/relationships/hyperlink" Target="https://login.consultant.ru/link/?req=doc&amp;base=LAW&amp;n=511724&amp;dst=7608" TargetMode="External"/><Relationship Id="rId30" Type="http://schemas.openxmlformats.org/officeDocument/2006/relationships/hyperlink" Target="https://login.consultant.ru/link/?req=doc&amp;base=RLAW123&amp;n=378392&amp;dst=100009" TargetMode="External"/><Relationship Id="rId35" Type="http://schemas.openxmlformats.org/officeDocument/2006/relationships/hyperlink" Target="https://login.consultant.ru/link/?req=doc&amp;base=LAW&amp;n=538095&amp;dst=105488" TargetMode="External"/><Relationship Id="rId56" Type="http://schemas.openxmlformats.org/officeDocument/2006/relationships/hyperlink" Target="https://login.consultant.ru/link/?req=doc&amp;base=LAW&amp;n=524066" TargetMode="External"/><Relationship Id="rId77" Type="http://schemas.openxmlformats.org/officeDocument/2006/relationships/hyperlink" Target="https://login.consultant.ru/link/?req=doc&amp;base=LAW&amp;n=538095&amp;dst=104721" TargetMode="External"/><Relationship Id="rId100" Type="http://schemas.openxmlformats.org/officeDocument/2006/relationships/hyperlink" Target="https://login.consultant.ru/link/?req=doc&amp;base=LAW&amp;n=426161&amp;dst=100195" TargetMode="External"/><Relationship Id="rId105" Type="http://schemas.openxmlformats.org/officeDocument/2006/relationships/hyperlink" Target="https://login.consultant.ru/link/?req=doc&amp;base=RLAW123&amp;n=378392&amp;dst=100026" TargetMode="External"/><Relationship Id="rId126" Type="http://schemas.openxmlformats.org/officeDocument/2006/relationships/hyperlink" Target="https://login.consultant.ru/link/?req=doc&amp;base=RLAW123&amp;n=378392&amp;dst=100063" TargetMode="External"/><Relationship Id="rId147" Type="http://schemas.openxmlformats.org/officeDocument/2006/relationships/hyperlink" Target="https://login.consultant.ru/link/?req=doc&amp;base=LAW&amp;n=538095" TargetMode="External"/><Relationship Id="rId168" Type="http://schemas.openxmlformats.org/officeDocument/2006/relationships/hyperlink" Target="https://login.consultant.ru/link/?req=doc&amp;base=LAW&amp;n=538095&amp;dst=105871" TargetMode="External"/><Relationship Id="rId8" Type="http://schemas.openxmlformats.org/officeDocument/2006/relationships/hyperlink" Target="https://login.consultant.ru/link/?req=doc&amp;base=RLAW123&amp;n=310164&amp;dst=100005" TargetMode="External"/><Relationship Id="rId51" Type="http://schemas.openxmlformats.org/officeDocument/2006/relationships/hyperlink" Target="https://login.consultant.ru/link/?req=doc&amp;base=LAW&amp;n=538095&amp;dst=105871" TargetMode="External"/><Relationship Id="rId72" Type="http://schemas.openxmlformats.org/officeDocument/2006/relationships/hyperlink" Target="https://login.consultant.ru/link/?req=doc&amp;base=LAW&amp;n=538095&amp;dst=102809" TargetMode="External"/><Relationship Id="rId93" Type="http://schemas.openxmlformats.org/officeDocument/2006/relationships/hyperlink" Target="https://login.consultant.ru/link/?req=doc&amp;base=RLAW123&amp;n=378392&amp;dst=100017" TargetMode="External"/><Relationship Id="rId98" Type="http://schemas.openxmlformats.org/officeDocument/2006/relationships/hyperlink" Target="https://login.consultant.ru/link/?req=doc&amp;base=LAW&amp;n=520677&amp;dst=102052" TargetMode="External"/><Relationship Id="rId121" Type="http://schemas.openxmlformats.org/officeDocument/2006/relationships/hyperlink" Target="https://login.consultant.ru/link/?req=doc&amp;base=RLAW123&amp;n=378392&amp;dst=100057" TargetMode="External"/><Relationship Id="rId142" Type="http://schemas.openxmlformats.org/officeDocument/2006/relationships/hyperlink" Target="https://login.consultant.ru/link/?req=doc&amp;base=LAW&amp;n=511724&amp;dst=3722" TargetMode="External"/><Relationship Id="rId163" Type="http://schemas.openxmlformats.org/officeDocument/2006/relationships/hyperlink" Target="https://login.consultant.ru/link/?req=doc&amp;base=LAW&amp;n=538095&amp;dst=104721" TargetMode="External"/><Relationship Id="rId184" Type="http://schemas.openxmlformats.org/officeDocument/2006/relationships/hyperlink" Target="https://login.consultant.ru/link/?req=doc&amp;base=LAW&amp;n=499769&amp;dst=48" TargetMode="External"/><Relationship Id="rId189" Type="http://schemas.openxmlformats.org/officeDocument/2006/relationships/header" Target="header2.xml"/><Relationship Id="rId3" Type="http://schemas.openxmlformats.org/officeDocument/2006/relationships/image" Target="media/image1.png"/><Relationship Id="rId25" Type="http://schemas.openxmlformats.org/officeDocument/2006/relationships/hyperlink" Target="https://login.consultant.ru/link/?req=doc&amp;base=RLAW123&amp;n=359429&amp;dst=100009" TargetMode="External"/><Relationship Id="rId46" Type="http://schemas.openxmlformats.org/officeDocument/2006/relationships/hyperlink" Target="https://login.consultant.ru/link/?req=doc&amp;base=LAW&amp;n=538095&amp;dst=104721" TargetMode="External"/><Relationship Id="rId67" Type="http://schemas.openxmlformats.org/officeDocument/2006/relationships/hyperlink" Target="https://login.consultant.ru/link/?req=doc&amp;base=LAW&amp;n=538095&amp;dst=100133" TargetMode="External"/><Relationship Id="rId116" Type="http://schemas.openxmlformats.org/officeDocument/2006/relationships/hyperlink" Target="https://login.consultant.ru/link/?req=doc&amp;base=RLAW123&amp;n=378392&amp;dst=100050" TargetMode="External"/><Relationship Id="rId137" Type="http://schemas.openxmlformats.org/officeDocument/2006/relationships/hyperlink" Target="https://login.consultant.ru/link/?req=doc&amp;base=RLAW123&amp;n=378392&amp;dst=100109" TargetMode="External"/><Relationship Id="rId158" Type="http://schemas.openxmlformats.org/officeDocument/2006/relationships/hyperlink" Target="https://login.consultant.ru/link/?req=doc&amp;base=LAW&amp;n=538095&amp;dst=102809" TargetMode="External"/><Relationship Id="rId20" Type="http://schemas.openxmlformats.org/officeDocument/2006/relationships/hyperlink" Target="https://login.consultant.ru/link/?req=doc&amp;base=RLAW123&amp;n=369401&amp;dst=100480" TargetMode="External"/><Relationship Id="rId41" Type="http://schemas.openxmlformats.org/officeDocument/2006/relationships/hyperlink" Target="https://login.consultant.ru/link/?req=doc&amp;base=LAW&amp;n=538095&amp;dst=102809" TargetMode="External"/><Relationship Id="rId62" Type="http://schemas.openxmlformats.org/officeDocument/2006/relationships/hyperlink" Target="www.admkrsk.ru" TargetMode="External"/><Relationship Id="rId83" Type="http://schemas.openxmlformats.org/officeDocument/2006/relationships/hyperlink" Target="https://login.consultant.ru/link/?req=doc&amp;base=LAW&amp;n=538095&amp;dst=105607" TargetMode="External"/><Relationship Id="rId88" Type="http://schemas.openxmlformats.org/officeDocument/2006/relationships/hyperlink" Target="https://login.consultant.ru/link/?req=doc&amp;base=LAW&amp;n=121087&amp;dst=100142" TargetMode="External"/><Relationship Id="rId111" Type="http://schemas.openxmlformats.org/officeDocument/2006/relationships/hyperlink" Target="https://login.consultant.ru/link/?req=doc&amp;base=RLAW123&amp;n=378392&amp;dst=100044" TargetMode="External"/><Relationship Id="rId132" Type="http://schemas.openxmlformats.org/officeDocument/2006/relationships/hyperlink" Target="https://login.consultant.ru/link/?req=doc&amp;base=LAW&amp;n=536617&amp;dst=217" TargetMode="External"/><Relationship Id="rId153" Type="http://schemas.openxmlformats.org/officeDocument/2006/relationships/hyperlink" Target="https://login.consultant.ru/link/?req=doc&amp;base=LAW&amp;n=538095&amp;dst=100133" TargetMode="External"/><Relationship Id="rId174" Type="http://schemas.openxmlformats.org/officeDocument/2006/relationships/hyperlink" Target="https://login.consultant.ru/link/?req=doc&amp;base=LAW&amp;n=538073&amp;dst=5769" TargetMode="External"/><Relationship Id="rId179" Type="http://schemas.openxmlformats.org/officeDocument/2006/relationships/hyperlink" Target="https://login.consultant.ru/link/?req=doc&amp;base=LAW&amp;n=499769&amp;dst=34" TargetMode="External"/><Relationship Id="rId195" Type="http://schemas.openxmlformats.org/officeDocument/2006/relationships/hyperlink" Target="https://login.consultant.ru/link/?req=doc&amp;base=RLAW123&amp;n=378392&amp;dst=100255" TargetMode="External"/><Relationship Id="rId190" Type="http://schemas.openxmlformats.org/officeDocument/2006/relationships/footer" Target="footer2.xml"/><Relationship Id="rId204" Type="http://schemas.openxmlformats.org/officeDocument/2006/relationships/customXml" Target="../customXml/item3.xml"/><Relationship Id="rId15" Type="http://schemas.openxmlformats.org/officeDocument/2006/relationships/hyperlink" Target="https://login.consultant.ru/link/?req=doc&amp;base=LAW&amp;n=537945&amp;dst=100160" TargetMode="External"/><Relationship Id="rId36" Type="http://schemas.openxmlformats.org/officeDocument/2006/relationships/hyperlink" Target="https://login.consultant.ru/link/?req=doc&amp;base=LAW&amp;n=538095&amp;dst=100133" TargetMode="External"/><Relationship Id="rId57" Type="http://schemas.openxmlformats.org/officeDocument/2006/relationships/hyperlink" Target="https://login.consultant.ru/link/?req=doc&amp;base=LAW&amp;n=471020&amp;dst=100031" TargetMode="External"/><Relationship Id="rId106" Type="http://schemas.openxmlformats.org/officeDocument/2006/relationships/hyperlink" Target="https://login.consultant.ru/link/?req=doc&amp;base=RLAW123&amp;n=378392&amp;dst=100032" TargetMode="External"/><Relationship Id="rId127" Type="http://schemas.openxmlformats.org/officeDocument/2006/relationships/image" Target="media/image2.wmf"/><Relationship Id="rId10" Type="http://schemas.openxmlformats.org/officeDocument/2006/relationships/hyperlink" Target="https://login.consultant.ru/link/?req=doc&amp;base=RLAW123&amp;n=336732&amp;dst=100005" TargetMode="External"/><Relationship Id="rId31" Type="http://schemas.openxmlformats.org/officeDocument/2006/relationships/hyperlink" Target="https://login.consultant.ru/link/?req=doc&amp;base=RLAW123&amp;n=371729&amp;dst=203892" TargetMode="External"/><Relationship Id="rId52" Type="http://schemas.openxmlformats.org/officeDocument/2006/relationships/hyperlink" Target="https://login.consultant.ru/link/?req=doc&amp;base=LAW&amp;n=538095&amp;dst=105607" TargetMode="External"/><Relationship Id="rId73" Type="http://schemas.openxmlformats.org/officeDocument/2006/relationships/hyperlink" Target="https://login.consultant.ru/link/?req=doc&amp;base=LAW&amp;n=538095&amp;dst=102830" TargetMode="External"/><Relationship Id="rId78" Type="http://schemas.openxmlformats.org/officeDocument/2006/relationships/hyperlink" Target="https://login.consultant.ru/link/?req=doc&amp;base=LAW&amp;n=538095&amp;dst=104792" TargetMode="External"/><Relationship Id="rId94" Type="http://schemas.openxmlformats.org/officeDocument/2006/relationships/hyperlink" Target="https://login.consultant.ru/link/?req=doc&amp;base=LAW&amp;n=538095" TargetMode="External"/><Relationship Id="rId99" Type="http://schemas.openxmlformats.org/officeDocument/2006/relationships/hyperlink" Target="https://login.consultant.ru/link/?req=doc&amp;base=LAW&amp;n=426161&amp;dst=100014" TargetMode="External"/><Relationship Id="rId101" Type="http://schemas.openxmlformats.org/officeDocument/2006/relationships/hyperlink" Target="https://login.consultant.ru/link/?req=doc&amp;base=RLAW123&amp;n=378392&amp;dst=100019" TargetMode="External"/><Relationship Id="rId122" Type="http://schemas.openxmlformats.org/officeDocument/2006/relationships/hyperlink" Target="https://login.consultant.ru/link/?req=doc&amp;base=RLAW123&amp;n=378392&amp;dst=100058" TargetMode="External"/><Relationship Id="rId143" Type="http://schemas.openxmlformats.org/officeDocument/2006/relationships/hyperlink" Target="https://login.consultant.ru/link/?req=doc&amp;base=RLAW123&amp;n=378392&amp;dst=100133" TargetMode="External"/><Relationship Id="rId148" Type="http://schemas.openxmlformats.org/officeDocument/2006/relationships/hyperlink" Target="https://login.consultant.ru/link/?req=doc&amp;base=LAW&amp;n=537945&amp;dst=100019" TargetMode="External"/><Relationship Id="rId164" Type="http://schemas.openxmlformats.org/officeDocument/2006/relationships/hyperlink" Target="https://login.consultant.ru/link/?req=doc&amp;base=LAW&amp;n=538095&amp;dst=104792" TargetMode="External"/><Relationship Id="rId169" Type="http://schemas.openxmlformats.org/officeDocument/2006/relationships/hyperlink" Target="https://login.consultant.ru/link/?req=doc&amp;base=LAW&amp;n=538095&amp;dst=105607" TargetMode="External"/><Relationship Id="rId185" Type="http://schemas.openxmlformats.org/officeDocument/2006/relationships/hyperlink" Target="https://login.consultant.ru/link/?req=doc&amp;base=RLAW123&amp;n=378392&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311588&amp;dst=100005" TargetMode="External"/><Relationship Id="rId180" Type="http://schemas.openxmlformats.org/officeDocument/2006/relationships/hyperlink" Target="https://login.consultant.ru/link/?req=doc&amp;base=LAW&amp;n=499769&amp;dst=100239" TargetMode="External"/><Relationship Id="rId26" Type="http://schemas.openxmlformats.org/officeDocument/2006/relationships/hyperlink" Target="https://login.consultant.ru/link/?req=doc&amp;base=RLAW123&amp;n=361740&amp;dst=100005" TargetMode="External"/><Relationship Id="rId47" Type="http://schemas.openxmlformats.org/officeDocument/2006/relationships/hyperlink" Target="https://login.consultant.ru/link/?req=doc&amp;base=LAW&amp;n=538095&amp;dst=104792" TargetMode="External"/><Relationship Id="rId68" Type="http://schemas.openxmlformats.org/officeDocument/2006/relationships/hyperlink" Target="https://login.consultant.ru/link/?req=doc&amp;base=LAW&amp;n=538095&amp;dst=100395" TargetMode="External"/><Relationship Id="rId89" Type="http://schemas.openxmlformats.org/officeDocument/2006/relationships/hyperlink" Target="https://login.consultant.ru/link/?req=doc&amp;base=LAW&amp;n=538072" TargetMode="External"/><Relationship Id="rId112" Type="http://schemas.openxmlformats.org/officeDocument/2006/relationships/hyperlink" Target="https://login.consultant.ru/link/?req=doc&amp;base=RLAW123&amp;n=378392&amp;dst=100045" TargetMode="External"/><Relationship Id="rId133" Type="http://schemas.openxmlformats.org/officeDocument/2006/relationships/hyperlink" Target="https://login.consultant.ru/link/?req=doc&amp;base=LAW&amp;n=536617&amp;dst=217" TargetMode="External"/><Relationship Id="rId154" Type="http://schemas.openxmlformats.org/officeDocument/2006/relationships/hyperlink" Target="https://login.consultant.ru/link/?req=doc&amp;base=LAW&amp;n=538095&amp;dst=100395" TargetMode="External"/><Relationship Id="rId175" Type="http://schemas.openxmlformats.org/officeDocument/2006/relationships/hyperlink" Target="https://login.consultant.ru/link/?req=doc&amp;base=LAW&amp;n=537945&amp;dst=351" TargetMode="External"/><Relationship Id="rId196" Type="http://schemas.openxmlformats.org/officeDocument/2006/relationships/hyperlink" Target="https://login.consultant.ru/link/?req=doc&amp;base=RLAW123&amp;n=378392&amp;dst=100257" TargetMode="External"/><Relationship Id="rId200" Type="http://schemas.openxmlformats.org/officeDocument/2006/relationships/hyperlink" Target="https://login.consultant.ru/link/?req=doc&amp;base=RLAW123&amp;n=228126&amp;dst=100011" TargetMode="External"/><Relationship Id="rId16" Type="http://schemas.openxmlformats.org/officeDocument/2006/relationships/hyperlink" Target="https://login.consultant.ru/link/?req=doc&amp;base=LAW&amp;n=528132&amp;dst=100019" TargetMode="External"/><Relationship Id="rId37" Type="http://schemas.openxmlformats.org/officeDocument/2006/relationships/hyperlink" Target="https://login.consultant.ru/link/?req=doc&amp;base=LAW&amp;n=538095&amp;dst=100395" TargetMode="External"/><Relationship Id="rId58" Type="http://schemas.openxmlformats.org/officeDocument/2006/relationships/hyperlink" Target="https://login.consultant.ru/link/?req=doc&amp;base=LAW&amp;n=471020&amp;dst=100032" TargetMode="External"/><Relationship Id="rId79" Type="http://schemas.openxmlformats.org/officeDocument/2006/relationships/hyperlink" Target="https://login.consultant.ru/link/?req=doc&amp;base=LAW&amp;n=538095&amp;dst=105027" TargetMode="External"/><Relationship Id="rId102" Type="http://schemas.openxmlformats.org/officeDocument/2006/relationships/hyperlink" Target="https://login.consultant.ru/link/?req=doc&amp;base=LAW&amp;n=523548&amp;dst=100598" TargetMode="External"/><Relationship Id="rId123" Type="http://schemas.openxmlformats.org/officeDocument/2006/relationships/hyperlink" Target="https://login.consultant.ru/link/?req=doc&amp;base=RLAW123&amp;n=378392&amp;dst=100059" TargetMode="External"/><Relationship Id="rId144" Type="http://schemas.openxmlformats.org/officeDocument/2006/relationships/hyperlink" Target="https://login.consultant.ru/link/?req=doc&amp;base=LAW&amp;n=538095" TargetMode="External"/><Relationship Id="rId90" Type="http://schemas.openxmlformats.org/officeDocument/2006/relationships/hyperlink" Target="https://login.consultant.ru/link/?req=doc&amp;base=LAW&amp;n=538073&amp;dst=5769" TargetMode="External"/><Relationship Id="rId165" Type="http://schemas.openxmlformats.org/officeDocument/2006/relationships/hyperlink" Target="https://login.consultant.ru/link/?req=doc&amp;base=LAW&amp;n=538095&amp;dst=105027" TargetMode="External"/><Relationship Id="rId186" Type="http://schemas.openxmlformats.org/officeDocument/2006/relationships/hyperlink" Target="https://login.consultant.ru/link/?req=doc&amp;base=LAW&amp;n=538095" TargetMode="External"/><Relationship Id="rId27" Type="http://schemas.openxmlformats.org/officeDocument/2006/relationships/hyperlink" Target="https://login.consultant.ru/link/?req=doc&amp;base=RLAW123&amp;n=378392&amp;dst=100008" TargetMode="External"/><Relationship Id="rId48" Type="http://schemas.openxmlformats.org/officeDocument/2006/relationships/hyperlink" Target="https://login.consultant.ru/link/?req=doc&amp;base=LAW&amp;n=538095&amp;dst=105027" TargetMode="External"/><Relationship Id="rId69" Type="http://schemas.openxmlformats.org/officeDocument/2006/relationships/hyperlink" Target="https://login.consultant.ru/link/?req=doc&amp;base=LAW&amp;n=538095&amp;dst=100438" TargetMode="External"/><Relationship Id="rId113" Type="http://schemas.openxmlformats.org/officeDocument/2006/relationships/hyperlink" Target="https://login.consultant.ru/link/?req=doc&amp;base=RLAW123&amp;n=378392&amp;dst=100047" TargetMode="External"/><Relationship Id="rId134" Type="http://schemas.openxmlformats.org/officeDocument/2006/relationships/hyperlink" Target="https://login.consultant.ru/link/?req=doc&amp;base=LAW&amp;n=511356&amp;dst=100104" TargetMode="External"/><Relationship Id="rId80" Type="http://schemas.openxmlformats.org/officeDocument/2006/relationships/hyperlink" Target="https://login.consultant.ru/link/?req=doc&amp;base=LAW&amp;n=538095&amp;dst=105210" TargetMode="External"/><Relationship Id="rId155" Type="http://schemas.openxmlformats.org/officeDocument/2006/relationships/hyperlink" Target="https://login.consultant.ru/link/?req=doc&amp;base=LAW&amp;n=538095&amp;dst=100438" TargetMode="External"/><Relationship Id="rId176" Type="http://schemas.openxmlformats.org/officeDocument/2006/relationships/hyperlink" Target="https://login.consultant.ru/link/?req=doc&amp;base=LAW&amp;n=499769&amp;dst=100282" TargetMode="External"/><Relationship Id="rId197" Type="http://schemas.openxmlformats.org/officeDocument/2006/relationships/hyperlink" Target="https://login.consultant.ru/link/?req=doc&amp;base=LAW&amp;n=538095" TargetMode="External"/><Relationship Id="rId201" Type="http://schemas.openxmlformats.org/officeDocument/2006/relationships/hyperlink" Target="https://login.consultant.ru/link/?req=doc&amp;base=RLAW123&amp;n=368273&amp;dst=2557" TargetMode="External"/><Relationship Id="rId17" Type="http://schemas.openxmlformats.org/officeDocument/2006/relationships/hyperlink" Target="https://login.consultant.ru/link/?req=doc&amp;base=RLAW123&amp;n=371729" TargetMode="External"/><Relationship Id="rId38" Type="http://schemas.openxmlformats.org/officeDocument/2006/relationships/hyperlink" Target="https://login.consultant.ru/link/?req=doc&amp;base=LAW&amp;n=538095&amp;dst=100438" TargetMode="External"/><Relationship Id="rId59" Type="http://schemas.openxmlformats.org/officeDocument/2006/relationships/hyperlink" Target="https://login.consultant.ru/link/?req=doc&amp;base=LAW&amp;n=524066&amp;dst=3629" TargetMode="External"/><Relationship Id="rId103" Type="http://schemas.openxmlformats.org/officeDocument/2006/relationships/hyperlink" Target="https://login.consultant.ru/link/?req=doc&amp;base=LAW&amp;n=524068&amp;dst=6205" TargetMode="External"/><Relationship Id="rId124" Type="http://schemas.openxmlformats.org/officeDocument/2006/relationships/hyperlink" Target="https://login.consultant.ru/link/?req=doc&amp;base=RLAW123&amp;n=378392&amp;dst=100060" TargetMode="External"/><Relationship Id="rId70" Type="http://schemas.openxmlformats.org/officeDocument/2006/relationships/hyperlink" Target="https://login.consultant.ru/link/?req=doc&amp;base=LAW&amp;n=538095&amp;dst=100497" TargetMode="External"/><Relationship Id="rId91" Type="http://schemas.openxmlformats.org/officeDocument/2006/relationships/hyperlink" Target="https://login.consultant.ru/link/?req=doc&amp;base=RLAW123&amp;n=378392&amp;dst=100015" TargetMode="External"/><Relationship Id="rId145" Type="http://schemas.openxmlformats.org/officeDocument/2006/relationships/hyperlink" Target="https://login.consultant.ru/link/?req=doc&amp;base=LAW&amp;n=538095" TargetMode="External"/><Relationship Id="rId166" Type="http://schemas.openxmlformats.org/officeDocument/2006/relationships/hyperlink" Target="https://login.consultant.ru/link/?req=doc&amp;base=LAW&amp;n=538095&amp;dst=105210" TargetMode="External"/><Relationship Id="rId187" Type="http://schemas.openxmlformats.org/officeDocument/2006/relationships/hyperlink" Target="https://login.consultant.ru/link/?req=doc&amp;base=LAW&amp;n=538095" TargetMode="External"/><Relationship Id="rId1" Type="http://schemas.openxmlformats.org/officeDocument/2006/relationships/settings" Target="settings.xml"/><Relationship Id="rId28" Type="http://schemas.openxmlformats.org/officeDocument/2006/relationships/hyperlink" Target="https://login.consultant.ru/link/?req=doc&amp;base=LAW&amp;n=511724&amp;dst=3704" TargetMode="External"/><Relationship Id="rId49" Type="http://schemas.openxmlformats.org/officeDocument/2006/relationships/hyperlink" Target="https://login.consultant.ru/link/?req=doc&amp;base=LAW&amp;n=538095&amp;dst=105210" TargetMode="External"/><Relationship Id="rId114" Type="http://schemas.openxmlformats.org/officeDocument/2006/relationships/hyperlink" Target="https://login.consultant.ru/link/?req=doc&amp;base=RLAW123&amp;n=378392&amp;dst=100048" TargetMode="External"/><Relationship Id="rId60" Type="http://schemas.openxmlformats.org/officeDocument/2006/relationships/hyperlink" Target="https://login.consultant.ru/link/?req=doc&amp;base=LAW&amp;n=520677&amp;dst=4271" TargetMode="External"/><Relationship Id="rId81" Type="http://schemas.openxmlformats.org/officeDocument/2006/relationships/hyperlink" Target="https://login.consultant.ru/link/?req=doc&amp;base=LAW&amp;n=538095&amp;dst=105532" TargetMode="External"/><Relationship Id="rId135" Type="http://schemas.openxmlformats.org/officeDocument/2006/relationships/hyperlink" Target="https://login.consultant.ru/link/?req=doc&amp;base=LAW&amp;n=494637&amp;dst=100058" TargetMode="External"/><Relationship Id="rId156" Type="http://schemas.openxmlformats.org/officeDocument/2006/relationships/hyperlink" Target="https://login.consultant.ru/link/?req=doc&amp;base=LAW&amp;n=538095&amp;dst=100497" TargetMode="External"/><Relationship Id="rId177" Type="http://schemas.openxmlformats.org/officeDocument/2006/relationships/hyperlink" Target="https://login.consultant.ru/link/?req=doc&amp;base=LAW&amp;n=499769&amp;dst=100276" TargetMode="External"/><Relationship Id="rId198" Type="http://schemas.openxmlformats.org/officeDocument/2006/relationships/hyperlink" Target="https://login.consultant.ru/link/?req=doc&amp;base=RLAW123&amp;n=378392&amp;dst=100308" TargetMode="External"/><Relationship Id="rId202" Type="http://schemas.openxmlformats.org/officeDocument/2006/relationships/customXml" Target="../customXml/item1.xml"/><Relationship Id="rId18" Type="http://schemas.openxmlformats.org/officeDocument/2006/relationships/hyperlink" Target="https://login.consultant.ru/link/?req=doc&amp;base=RLAW123&amp;n=369401&amp;dst=100358" TargetMode="External"/><Relationship Id="rId39" Type="http://schemas.openxmlformats.org/officeDocument/2006/relationships/hyperlink" Target="https://login.consultant.ru/link/?req=doc&amp;base=LAW&amp;n=538095&amp;dst=100497" TargetMode="External"/><Relationship Id="rId50" Type="http://schemas.openxmlformats.org/officeDocument/2006/relationships/hyperlink" Target="https://login.consultant.ru/link/?req=doc&amp;base=LAW&amp;n=538095&amp;dst=105532" TargetMode="External"/><Relationship Id="rId104" Type="http://schemas.openxmlformats.org/officeDocument/2006/relationships/hyperlink" Target="https://login.consultant.ru/link/?req=doc&amp;base=RLAW123&amp;n=378392&amp;dst=100021" TargetMode="External"/><Relationship Id="rId125" Type="http://schemas.openxmlformats.org/officeDocument/2006/relationships/hyperlink" Target="https://login.consultant.ru/link/?req=doc&amp;base=LAW&amp;n=538072" TargetMode="External"/><Relationship Id="rId146" Type="http://schemas.openxmlformats.org/officeDocument/2006/relationships/hyperlink" Target="https://login.consultant.ru/link/?req=doc&amp;base=LAW&amp;n=538095" TargetMode="External"/><Relationship Id="rId167" Type="http://schemas.openxmlformats.org/officeDocument/2006/relationships/hyperlink" Target="https://login.consultant.ru/link/?req=doc&amp;base=LAW&amp;n=538095&amp;dst=105532" TargetMode="External"/><Relationship Id="rId188" Type="http://schemas.openxmlformats.org/officeDocument/2006/relationships/hyperlink" Target="https://login.consultant.ru/link/?req=doc&amp;base=RLAW123&amp;n=378392&amp;dst=100125" TargetMode="External"/><Relationship Id="rId71" Type="http://schemas.openxmlformats.org/officeDocument/2006/relationships/hyperlink" Target="https://login.consultant.ru/link/?req=doc&amp;base=LAW&amp;n=538095&amp;dst=102708" TargetMode="External"/><Relationship Id="rId92" Type="http://schemas.openxmlformats.org/officeDocument/2006/relationships/hyperlink" Target="https://login.consultant.ru/link/?req=doc&amp;base=LAW&amp;n=537945&amp;dst=351"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429F7223BAE89468E1C6405CB4BF892" ma:contentTypeVersion="1" ma:contentTypeDescription="Создание документа." ma:contentTypeScope="" ma:versionID="1fd9672180824041fe89580848972a08">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B5A4B5-3F7D-4C3A-A82D-8A9B87533479}"/>
</file>

<file path=customXml/itemProps2.xml><?xml version="1.0" encoding="utf-8"?>
<ds:datastoreItem xmlns:ds="http://schemas.openxmlformats.org/officeDocument/2006/customXml" ds:itemID="{6594862C-750E-46C0-BF5D-D5A6AF995908}"/>
</file>

<file path=customXml/itemProps3.xml><?xml version="1.0" encoding="utf-8"?>
<ds:datastoreItem xmlns:ds="http://schemas.openxmlformats.org/officeDocument/2006/customXml" ds:itemID="{28626D24-55EA-4395-8057-46DA49841D2F}"/>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Красноярска от 14.11.2022 N 987
(ред. от 17.06.2026)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(вместе с "Положением о порядке предоставления субсидий субъектам малого и средне</dc:title>
  <dcterms:created xsi:type="dcterms:W3CDTF">2026-07-07T01:46:41Z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0x010100E429F7223BAE89468E1C6405CB4BF892</vt:lpwstr>
  </property>
</Properties>
</file>