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337F76" w:rsidRPr="00BF14E5" w:rsidRDefault="00337F76" w:rsidP="00337F76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337F76" w:rsidRPr="00BF14E5" w:rsidRDefault="00337F76" w:rsidP="00337F76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>
        <w:rPr>
          <w:sz w:val="26"/>
          <w:szCs w:val="26"/>
        </w:rPr>
        <w:t xml:space="preserve"> под </w:t>
      </w:r>
      <w:r w:rsidRPr="006F0592">
        <w:rPr>
          <w:sz w:val="26"/>
          <w:szCs w:val="26"/>
        </w:rPr>
        <w:t xml:space="preserve">многоквартирным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0592">
        <w:rPr>
          <w:sz w:val="26"/>
          <w:szCs w:val="26"/>
        </w:rPr>
        <w:t xml:space="preserve">, расположенным по адресу: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 xml:space="preserve">г. Красноярск, </w:t>
      </w:r>
      <w:r>
        <w:rPr>
          <w:sz w:val="26"/>
          <w:szCs w:val="26"/>
        </w:rPr>
        <w:t>Свердловский район, ул. 60 лет Октября, 169</w:t>
      </w:r>
    </w:p>
    <w:p w:rsidR="00337F76" w:rsidRPr="00BF14E5" w:rsidRDefault="00337F76" w:rsidP="00337F76">
      <w:pPr>
        <w:ind w:firstLine="709"/>
        <w:jc w:val="both"/>
        <w:rPr>
          <w:sz w:val="26"/>
          <w:szCs w:val="26"/>
        </w:rPr>
      </w:pPr>
    </w:p>
    <w:p w:rsidR="00103DCE" w:rsidRPr="006F5C46" w:rsidRDefault="00103DCE" w:rsidP="00103DCE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с постановлением администрации города </w:t>
      </w:r>
      <w:r>
        <w:rPr>
          <w:sz w:val="26"/>
          <w:szCs w:val="26"/>
        </w:rPr>
        <w:br/>
      </w:r>
      <w:r w:rsidRPr="006F5C4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bookmarkStart w:id="0" w:name="_GoBack"/>
      <w:r w:rsidR="0023233D">
        <w:rPr>
          <w:sz w:val="26"/>
          <w:szCs w:val="26"/>
        </w:rPr>
        <w:t>05.03.2024 № 166</w:t>
      </w:r>
      <w:r>
        <w:rPr>
          <w:sz w:val="26"/>
          <w:szCs w:val="26"/>
        </w:rPr>
        <w:t xml:space="preserve"> </w:t>
      </w:r>
      <w:bookmarkEnd w:id="0"/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>
        <w:rPr>
          <w:sz w:val="26"/>
          <w:szCs w:val="26"/>
        </w:rPr>
        <w:t xml:space="preserve">с 13.03.2024 по 10.04.2024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103DCE" w:rsidRPr="006F5C46" w:rsidRDefault="00103DCE" w:rsidP="00103DCE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103DCE" w:rsidRDefault="00103DCE" w:rsidP="00103DCE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Pr="00103DCE" w:rsidRDefault="00103DCE" w:rsidP="00103DCE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B65862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F54F4A5" wp14:editId="6F7630A2">
            <wp:extent cx="6120130" cy="357202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103DCE" w:rsidRPr="00BF14E5" w:rsidRDefault="00103DCE" w:rsidP="00103DC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03DCE" w:rsidRPr="00BF14E5" w:rsidRDefault="00103DCE" w:rsidP="00103DC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20.03.2024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20.03.2024 по 29.03.2024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03DCE" w:rsidRPr="006F5C46" w:rsidRDefault="00103DCE" w:rsidP="00103D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29.03.2024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03DCE" w:rsidRPr="006F5C46" w:rsidRDefault="00103DCE" w:rsidP="00103DCE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103DCE" w:rsidRPr="006F5C46" w:rsidRDefault="00103DCE" w:rsidP="00103DCE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>2</w:t>
      </w:r>
      <w:r w:rsidR="007323E7">
        <w:rPr>
          <w:rFonts w:eastAsiaTheme="minorHAnsi"/>
          <w:b/>
          <w:sz w:val="26"/>
          <w:szCs w:val="26"/>
          <w:lang w:eastAsia="en-US"/>
        </w:rPr>
        <w:t>6</w:t>
      </w:r>
      <w:r>
        <w:rPr>
          <w:rFonts w:eastAsiaTheme="minorHAnsi"/>
          <w:b/>
          <w:sz w:val="26"/>
          <w:szCs w:val="26"/>
          <w:lang w:eastAsia="en-US"/>
        </w:rPr>
        <w:t xml:space="preserve">.03.2024 </w:t>
      </w:r>
      <w:r w:rsidRPr="006F5C46">
        <w:rPr>
          <w:rFonts w:eastAsiaTheme="minorHAnsi"/>
          <w:b/>
          <w:sz w:val="26"/>
          <w:szCs w:val="26"/>
          <w:lang w:eastAsia="en-US"/>
        </w:rPr>
        <w:t>в 1</w:t>
      </w:r>
      <w:r>
        <w:rPr>
          <w:rFonts w:eastAsiaTheme="minorHAnsi"/>
          <w:b/>
          <w:sz w:val="26"/>
          <w:szCs w:val="26"/>
          <w:lang w:eastAsia="en-US"/>
        </w:rPr>
        <w:t>7:20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</w:t>
      </w:r>
      <w:r w:rsidR="007323E7">
        <w:rPr>
          <w:rFonts w:eastAsiaTheme="minorHAnsi"/>
          <w:b/>
          <w:sz w:val="26"/>
          <w:szCs w:val="26"/>
          <w:lang w:eastAsia="en-US"/>
        </w:rPr>
        <w:t xml:space="preserve"> в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>
        <w:rPr>
          <w:rFonts w:eastAsiaTheme="minorHAnsi"/>
          <w:b/>
          <w:sz w:val="26"/>
          <w:szCs w:val="26"/>
          <w:lang w:eastAsia="en-US"/>
        </w:rPr>
        <w:t>ичных слушаний начинается с 17:10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103DCE" w:rsidRPr="00FC1930" w:rsidRDefault="00103DCE" w:rsidP="00103DC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103DCE" w:rsidRPr="00FC1930" w:rsidRDefault="00103DCE" w:rsidP="00103DC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103DCE" w:rsidRPr="00FC1930" w:rsidRDefault="00103DCE" w:rsidP="00103D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103DCE" w:rsidRPr="00FC1930" w:rsidRDefault="00103DCE" w:rsidP="00103DCE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103DCE" w:rsidRPr="00FC1930" w:rsidRDefault="00103DCE" w:rsidP="00103D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03DCE" w:rsidRPr="00FC1930" w:rsidRDefault="00103DCE" w:rsidP="00103DCE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BE6549" w:rsidRPr="00195EE1" w:rsidRDefault="00103DCE" w:rsidP="00103D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DCE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233D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37F76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3E7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705E9F-32D0-456F-AAEC-242CE4A470BD}"/>
</file>

<file path=customXml/itemProps2.xml><?xml version="1.0" encoding="utf-8"?>
<ds:datastoreItem xmlns:ds="http://schemas.openxmlformats.org/officeDocument/2006/customXml" ds:itemID="{3B0F554C-0FAD-4E53-A2D7-D3E96FCB9D2B}"/>
</file>

<file path=customXml/itemProps3.xml><?xml version="1.0" encoding="utf-8"?>
<ds:datastoreItem xmlns:ds="http://schemas.openxmlformats.org/officeDocument/2006/customXml" ds:itemID="{976797D2-926E-4E1B-BAE5-2AFDD877FF2A}"/>
</file>

<file path=customXml/itemProps4.xml><?xml version="1.0" encoding="utf-8"?>
<ds:datastoreItem xmlns:ds="http://schemas.openxmlformats.org/officeDocument/2006/customXml" ds:itemID="{BE4A6E48-9641-4DD6-9702-20761B3C9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6</cp:revision>
  <cp:lastPrinted>2024-03-05T04:57:00Z</cp:lastPrinted>
  <dcterms:created xsi:type="dcterms:W3CDTF">2024-02-21T03:36:00Z</dcterms:created>
  <dcterms:modified xsi:type="dcterms:W3CDTF">2024-03-05T04:57:00Z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