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214" w:rsidRDefault="003F7214">
      <w:pPr>
        <w:pStyle w:val="ConsPlusTitle"/>
        <w:jc w:val="center"/>
        <w:outlineLvl w:val="0"/>
      </w:pPr>
      <w:bookmarkStart w:id="0" w:name="_GoBack"/>
      <w:bookmarkEnd w:id="0"/>
      <w:r>
        <w:t>АДМИНИСТРАЦИЯ ГОРОДА КРАСНОЯРСКА</w:t>
      </w:r>
    </w:p>
    <w:p w:rsidR="003F7214" w:rsidRDefault="003F7214">
      <w:pPr>
        <w:pStyle w:val="ConsPlusTitle"/>
        <w:jc w:val="center"/>
      </w:pPr>
    </w:p>
    <w:p w:rsidR="003F7214" w:rsidRDefault="003F7214">
      <w:pPr>
        <w:pStyle w:val="ConsPlusTitle"/>
        <w:jc w:val="center"/>
      </w:pPr>
      <w:r>
        <w:t>ПОСТАНОВЛЕНИЕ</w:t>
      </w:r>
    </w:p>
    <w:p w:rsidR="003F7214" w:rsidRDefault="003F7214">
      <w:pPr>
        <w:pStyle w:val="ConsPlusTitle"/>
        <w:jc w:val="center"/>
      </w:pPr>
      <w:r>
        <w:t>от 19 апреля 2018 г. N 268</w:t>
      </w:r>
    </w:p>
    <w:p w:rsidR="003F7214" w:rsidRDefault="003F7214">
      <w:pPr>
        <w:pStyle w:val="ConsPlusTitle"/>
        <w:jc w:val="center"/>
      </w:pPr>
    </w:p>
    <w:p w:rsidR="003F7214" w:rsidRDefault="003F7214">
      <w:pPr>
        <w:pStyle w:val="ConsPlusTitle"/>
        <w:jc w:val="center"/>
      </w:pPr>
      <w:r>
        <w:t>ОБ УТВЕРЖДЕНИИ АРХИТЕКТУРНО-ХУДОЖЕСТВЕННОГО РЕГЛАМЕНТА</w:t>
      </w:r>
    </w:p>
    <w:p w:rsidR="003F7214" w:rsidRDefault="003F7214">
      <w:pPr>
        <w:pStyle w:val="ConsPlusTitle"/>
        <w:jc w:val="center"/>
      </w:pPr>
      <w:r>
        <w:t>УЛИЦ, ОБЩЕСТВЕННЫХ ПРОСТРАНСТВ ГОРОДА КРАСНОЯРСКА</w:t>
      </w: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статьей 16</w:t>
        </w:r>
      </w:hyperlink>
      <w:r>
        <w:t xml:space="preserve"> Закона Красноярского края от 30.11.2017 N 4-1155 "О краевом бюджете на 2018 год и плановый период 2019 - 2020 годов", </w:t>
      </w:r>
      <w:hyperlink r:id="rId6" w:history="1">
        <w:r>
          <w:rPr>
            <w:color w:val="0000FF"/>
          </w:rPr>
          <w:t>статьей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Решениями Красноярского городского Совета депутатов от 22.12.2009 </w:t>
      </w:r>
      <w:hyperlink r:id="rId7" w:history="1">
        <w:r>
          <w:rPr>
            <w:color w:val="0000FF"/>
          </w:rPr>
          <w:t>N 8-140</w:t>
        </w:r>
      </w:hyperlink>
      <w:r>
        <w:t xml:space="preserve"> "О Правилах установки и эксплуатации рекламных конструкций на территории города</w:t>
      </w:r>
      <w:proofErr w:type="gramEnd"/>
      <w:r>
        <w:t xml:space="preserve"> Красноярска", от 25.06.2013 </w:t>
      </w:r>
      <w:hyperlink r:id="rId8" w:history="1">
        <w:r>
          <w:rPr>
            <w:color w:val="0000FF"/>
          </w:rPr>
          <w:t>N В-378</w:t>
        </w:r>
      </w:hyperlink>
      <w:r>
        <w:t xml:space="preserve"> "Об утверждении Правил благоустройства территории города Красноярска", руководствуясь </w:t>
      </w:r>
      <w:hyperlink r:id="rId9" w:history="1">
        <w:r>
          <w:rPr>
            <w:color w:val="0000FF"/>
          </w:rPr>
          <w:t>статьями 41</w:t>
        </w:r>
      </w:hyperlink>
      <w:r>
        <w:t xml:space="preserve">, </w:t>
      </w:r>
      <w:hyperlink r:id="rId10" w:history="1">
        <w:r>
          <w:rPr>
            <w:color w:val="0000FF"/>
          </w:rPr>
          <w:t>58</w:t>
        </w:r>
      </w:hyperlink>
      <w:r>
        <w:t xml:space="preserve">, </w:t>
      </w:r>
      <w:hyperlink r:id="rId11" w:history="1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1. Утвердить Архитектурно-художественный </w:t>
      </w:r>
      <w:hyperlink w:anchor="P25" w:history="1">
        <w:r>
          <w:rPr>
            <w:color w:val="0000FF"/>
          </w:rPr>
          <w:t>регламент</w:t>
        </w:r>
      </w:hyperlink>
      <w:r>
        <w:t xml:space="preserve"> улиц, общественных пространств города Красноярска согласно приложению.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jc w:val="right"/>
      </w:pPr>
      <w:r>
        <w:t>Глава города</w:t>
      </w:r>
    </w:p>
    <w:p w:rsidR="003F7214" w:rsidRDefault="003F7214">
      <w:pPr>
        <w:pStyle w:val="ConsPlusNormal"/>
        <w:jc w:val="right"/>
      </w:pPr>
      <w:r>
        <w:t>С.В.ЕРЕМИН</w:t>
      </w: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jc w:val="right"/>
        <w:outlineLvl w:val="0"/>
      </w:pPr>
      <w:r>
        <w:t>Приложение</w:t>
      </w:r>
    </w:p>
    <w:p w:rsidR="003F7214" w:rsidRDefault="003F7214">
      <w:pPr>
        <w:pStyle w:val="ConsPlusNormal"/>
        <w:jc w:val="right"/>
      </w:pPr>
      <w:r>
        <w:t>к Постановлению</w:t>
      </w:r>
    </w:p>
    <w:p w:rsidR="003F7214" w:rsidRDefault="003F7214">
      <w:pPr>
        <w:pStyle w:val="ConsPlusNormal"/>
        <w:jc w:val="right"/>
      </w:pPr>
      <w:r>
        <w:t>администрации города</w:t>
      </w:r>
    </w:p>
    <w:p w:rsidR="003F7214" w:rsidRDefault="003F7214">
      <w:pPr>
        <w:pStyle w:val="ConsPlusNormal"/>
        <w:jc w:val="right"/>
      </w:pPr>
      <w:r>
        <w:t>от 19 апреля 2018 г. N 268</w:t>
      </w: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Title"/>
        <w:jc w:val="center"/>
      </w:pPr>
      <w:bookmarkStart w:id="1" w:name="P25"/>
      <w:bookmarkEnd w:id="1"/>
      <w:r>
        <w:t>АРХИТЕКТУРНО-ХУДОЖЕСТВЕННЫЙ РЕГЛАМЕНТ</w:t>
      </w:r>
    </w:p>
    <w:p w:rsidR="003F7214" w:rsidRDefault="003F7214">
      <w:pPr>
        <w:pStyle w:val="ConsPlusTitle"/>
        <w:jc w:val="center"/>
      </w:pPr>
      <w:r>
        <w:t>УЛИЦ, ОБЩЕСТВЕННЫХ ПРОСТРАНСТВ ГОРОДА КРАСНОЯРСКА</w:t>
      </w: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ind w:firstLine="540"/>
        <w:jc w:val="both"/>
      </w:pPr>
      <w:r>
        <w:t>1. Архитектурно-художественный регламент улиц, общественных пространств города Красноярска (далее - Регламент) содержит требования к оформлению зданий, строений и сооружений, наружной рекламе и рекламным конструкциям.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2. Настоящий Регламент не распространяется </w:t>
      </w:r>
      <w:proofErr w:type="gramStart"/>
      <w:r>
        <w:t>на</w:t>
      </w:r>
      <w:proofErr w:type="gramEnd"/>
      <w:r>
        <w:t>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размещаемые на зданиях, строениях, сооружениях знаки городской информации;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указатели границ территорий городских и сельских поселений, указатели картографической информации, а также указатели маршрутов (схем) движения и расписания общественного пассажирского транспорта;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дорожные информационные знаки;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информационные надписи и обозначения на объектах культурного наследия (памятниках истории и культуры) народов Российской Федерации;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мемориальные доски.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lastRenderedPageBreak/>
        <w:t>3. Настоящий Регламент является обязательным для исполнения всеми индивидуальными предпринимателями, физическими и юридическими лицами независимо от организационно-правовой формы юридических лиц.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4. В целях настоящего Регламента понятия и термины используются в следующих значениях:</w:t>
      </w:r>
    </w:p>
    <w:p w:rsidR="003F7214" w:rsidRDefault="003F7214">
      <w:pPr>
        <w:pStyle w:val="ConsPlusNormal"/>
        <w:spacing w:before="220"/>
        <w:ind w:firstLine="540"/>
        <w:jc w:val="both"/>
      </w:pPr>
      <w:proofErr w:type="gramStart"/>
      <w:r>
        <w:t>глухой фасад - фасад здания, строения, сооружения, не имеющий проемов (оконных, дверных);</w:t>
      </w:r>
      <w:proofErr w:type="gramEnd"/>
    </w:p>
    <w:p w:rsidR="003F7214" w:rsidRDefault="003F7214">
      <w:pPr>
        <w:pStyle w:val="ConsPlusNormal"/>
        <w:spacing w:before="220"/>
        <w:ind w:firstLine="540"/>
        <w:jc w:val="both"/>
      </w:pPr>
      <w:proofErr w:type="gramStart"/>
      <w:r>
        <w:t xml:space="preserve">информационный блок - информационная конструкция, предназначенная для системного размещения информации о нескольких организациях, индивидуальных предпринимателях, обязательной к донесению до потребителя в соответствии с </w:t>
      </w:r>
      <w:hyperlink r:id="rId12" w:history="1">
        <w:r>
          <w:rPr>
            <w:color w:val="0000FF"/>
          </w:rPr>
          <w:t>Законом</w:t>
        </w:r>
      </w:hyperlink>
      <w:r>
        <w:t xml:space="preserve"> Российской Федерации от 07.02.1992 N 2300-1 "О защите прав потребителей", устанавливаемая в границах входной группы, рядом с входными дверями (в том числе в интерьерах общественных зданий) или вблизи проездов (проходов), если вход в организации (проход к индивидуальным</w:t>
      </w:r>
      <w:proofErr w:type="gramEnd"/>
      <w:r>
        <w:t xml:space="preserve"> предпринимателям) находится во дворе;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единая горизонтальная ось - условная прямая линия, относительно которой располагаются вывески, рекламные конструкции. Определяется как половина расстояния между верхним и нижним архитектурным элементом, выделяющимся (западающим, выступающим) из плоскости стены в границах первого и второго этажей.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5. Требования к информационному оформлению зданий, строений, сооружений: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1) информационные конструкции, размещаемые на фасаде здания, строения, сооружения, должны располагаться на единой горизонтальной оси: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для многоквартирных домов, имеющих два и более этажа, - между линией, проходящей по верхнему краю оконных проемов первого этажа и линией перекрытия между первым и вторым этажами;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для нежилых зданий, имеющих два и более этажа, - в районе линии перекрытия между первым и вторым этажами;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для одноэтажных зданий - над окнами занимаемого организацией помещения.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Требования данного пункта не распространяются на информационные таблички, учрежденческие доски, информационные конструкции, размещаемые на административно-офисных, торговых, культурно-развлекательных, спортивных объектах, на которых размещение информационных конструкций осуществляется на основании </w:t>
      </w:r>
      <w:proofErr w:type="gramStart"/>
      <w:r>
        <w:t>дизайн-проекта</w:t>
      </w:r>
      <w:proofErr w:type="gramEnd"/>
      <w:r>
        <w:t>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2) требования к информационным конструкциям, выполненным в виде настенного панно (в том числе светового короба), конструкции из отдельных букв.</w:t>
      </w:r>
    </w:p>
    <w:p w:rsidR="003F7214" w:rsidRDefault="003F7214">
      <w:pPr>
        <w:pStyle w:val="ConsPlusNormal"/>
        <w:spacing w:before="220"/>
        <w:ind w:firstLine="540"/>
        <w:jc w:val="both"/>
      </w:pPr>
      <w:bookmarkStart w:id="2" w:name="P47"/>
      <w:bookmarkEnd w:id="2"/>
      <w:r>
        <w:t>Информационные конструкции размещаются над входом и (или) окнами (витринами) помещений, в месте фактического нахождения или осуществления деятельности юридического лица или индивидуального предпринимателя.</w:t>
      </w:r>
    </w:p>
    <w:p w:rsidR="003F7214" w:rsidRDefault="003F7214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помещения организации располагаются в полуподвальных или цокольных этажах зданий, строений, сооружений либо здание, строение, сооружение является одноэтажным и отсутствует возможность размещения информационной конструкции в соответствии с требованиями </w:t>
      </w:r>
      <w:hyperlink w:anchor="P47" w:history="1">
        <w:r>
          <w:rPr>
            <w:color w:val="0000FF"/>
          </w:rPr>
          <w:t>абзаца второго подпункта 2</w:t>
        </w:r>
      </w:hyperlink>
      <w:r>
        <w:t xml:space="preserve"> настоящего пункта, информационная конструкция может быть размещена над окнами данной организации, но не ниже 0,6 м от уровня земли до нижнего края конструкции.</w:t>
      </w:r>
      <w:proofErr w:type="gramEnd"/>
      <w:r>
        <w:t xml:space="preserve"> При этом конструкция не должна отступать от плоскости фасада более чем на 0,1 м, а высота информационной конструкции не должна превышать 0,6 м.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lastRenderedPageBreak/>
        <w:t>При наличии нескольких входов в помещение допускается размещать информационную конструкцию над каждым входом.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Если занимаемое юридическим лицом или индивидуальным предпринимателем помещение имеет фасады на нескольких улицах, информационные конструкции допускается размещать на всех фасадах помещения.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В случае размещения информационных конструкций на козырьке входной группы не допускается: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установка информационной конструкции только на боковые стороны фриза входной группы;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установка информационной конструкции, превышающей размеры козырька входной группы;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использование разных цветовых решений фронтальной и боковых сторон фриза при оформлении одной входной группы.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В случае размещения информационных конструкций на зданиях, построенных ранее 1953 года, информационные конструкции выполняются в виде конструкций из отдельных букв либо с использованием подложки, выполненной в цвете основного цвета участка фасада, на котором они размещаются;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3) требования к информационным конструкциям, выполненным в виде консольных конструкций.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Вертикальный габаритный размер консольной конструкции должен совпадать с основной высотой настенного панно, светового короба, конструкции из отдельных букв на этом же фасаде.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Максимальная ширина всей консольной конструкции - 0,9 м.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Консольные конструкции устанавливаются на расстоянии не более 0,2 м от стены.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Расстояние от уровня земли до нижнего края консольной конструкции должно быть не менее 3,5 м.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Минимальное расстояние между консольными конструкциями - 10 м;</w:t>
      </w:r>
    </w:p>
    <w:p w:rsidR="003F7214" w:rsidRDefault="003F7214">
      <w:pPr>
        <w:pStyle w:val="ConsPlusNormal"/>
        <w:spacing w:before="220"/>
        <w:ind w:firstLine="540"/>
        <w:jc w:val="both"/>
      </w:pPr>
      <w:bookmarkStart w:id="3" w:name="P62"/>
      <w:bookmarkEnd w:id="3"/>
      <w:r>
        <w:t>4) требования к информационным табличкам, учрежденческим доскам.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Информационные таблички, учрежденческие доски устанавливаются при входе в здание, строение, сооружение или помещения в них, занимаемые (используемые для осуществления деятельности) организацией или индивидуальным предпринимателем.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Одна организация вправе разместить только одну информационную табличку либо учрежденческую доску на каждый вход в здание, строение, сооружение.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Учрежденческие доски устанавливаются непосредственно у главного входа в учреждение, предприятие на плоскости фасада слева, справа, над входными дверями на едином горизонтальном и (или) вертикальном уровне с иными аналогичными конструкциями.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Информационные таблички устанавливаются у входа в фактически занимаемое (используемое для осуществления деятельности) организацией (индивидуальным предпринимателем) здание, строение, сооружение или помещение в них непосредственно рядом с входными дверями на плоскости фасада на едином горизонтальном и (или) вертикальном уровне с иными аналогичными конструкциями.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lastRenderedPageBreak/>
        <w:t>Максимальный размер информационных табличек при расположении на фасаде здания, строения или на остеклении дверных полотен - 0,4 м по ширине и 0,6 м по высоте.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Если на здании с одной стороны от входа необходимо разместить более трех информационных табличек, то они должны быть объединены в настенную конструкцию типа информационного блока с ячейками для смены информации.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Информационный блок устанавливается в границах входной группы, рядом с входными дверями в здание, строение, сооружение или помещение в них и предназначен для системного размещения табличек нескольких организаций (индивидуальных предпринимателей), фактически находящихся (осуществляющих деятельность) в этих зданиях, строениях, сооружениях или помещениях в них.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Габариты информационных блоков не должны превышать 1,5 м по ширине. Габариты размещаемых в информационном блоке табличек должны иметь одинаковые размеры, схему расположения информации и цветовое решение.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Расстояние от уровня земли (пола входной группы) до верхнего края учрежденческой доски и информационной таблички, а также информационного блока не должно превышать 2,2 м, а расстояние до нижнего края не должно быть менее 1 м;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5) требования к крышным информационным конструкциям.</w:t>
      </w:r>
    </w:p>
    <w:p w:rsidR="003F7214" w:rsidRDefault="003F7214">
      <w:pPr>
        <w:pStyle w:val="ConsPlusNormal"/>
        <w:spacing w:before="220"/>
        <w:ind w:firstLine="540"/>
        <w:jc w:val="both"/>
      </w:pPr>
      <w:proofErr w:type="gramStart"/>
      <w:r>
        <w:t>Для размещения информации, не относимой законодательством Российской Федерации к рекламе, предусмотренной к размещению обычаями делового оборота в целях информирования исключительно об организациях и индивидуальных предпринимателях, находящихся (осуществляющих деятельность) в зданиях, строениях, сооружениях, на которых устанавливается информационная конструкция, организация (индивидуальный предприниматель) вправе установить на крыше здания, строения, сооружения информационную крышную конструкцию при условии:</w:t>
      </w:r>
      <w:proofErr w:type="gramEnd"/>
    </w:p>
    <w:p w:rsidR="003F7214" w:rsidRDefault="003F7214">
      <w:pPr>
        <w:pStyle w:val="ConsPlusNormal"/>
        <w:spacing w:before="220"/>
        <w:ind w:firstLine="540"/>
        <w:jc w:val="both"/>
      </w:pPr>
      <w:r>
        <w:t>установка информационных крышных конструкций на территории города, за исключением промышленных и коммунально-складских территорий, допускается только в виде отдельно стоящих букв, обозначений и декоративных элементов без использования фоновых подложек;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информационное поле крышных конструкций располагается параллельно к поверхности фасадов объектов, по отношению к которым они установлены, выше линии карниза или парапета здания, строения, сооружения в зависимости от места установки крышной конструкции;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крышные конструкции могут быть оборудованы исключительно внутренней подсветкой;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высота крышных конструкций с учетом всех используемых элементов должна быть: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не более 1,80 м для 1 - 3-этажных объектов;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не более 3 м для 4 - 7-этажных объектов;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не более 4 м для 8 - 12-этажных объектов;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не более 5 м для 13 - 17-этажных объектов;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не более 6 м для объектов, имеющих 18 и более этажей;</w:t>
      </w:r>
    </w:p>
    <w:p w:rsidR="003F7214" w:rsidRDefault="003F7214">
      <w:pPr>
        <w:pStyle w:val="ConsPlusNormal"/>
        <w:spacing w:before="220"/>
        <w:ind w:firstLine="540"/>
        <w:jc w:val="both"/>
      </w:pPr>
      <w:proofErr w:type="gramStart"/>
      <w:r>
        <w:t xml:space="preserve">6) размещение информационных конструкций на объектах культурного наследия (памятниках истории и культуры) народов Российской Федерации, расположенных на территории города и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осуществляется </w:t>
      </w:r>
      <w:r>
        <w:lastRenderedPageBreak/>
        <w:t xml:space="preserve">в случаях и на условиях, предусмотренных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</w:t>
      </w:r>
      <w:proofErr w:type="gramEnd"/>
      <w:r>
        <w:t xml:space="preserve"> Федерации".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6. Требования к наружной рекламе и рекламным конструкциям: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1) на территории города размещаются рекламные конструкции нейтрального к окружению цвета, рекомендуемый цвет - серый. На зданиях, строениях, сооружениях размещаются рекламные конструкции, выполненные в основном цвете элемента (кровли, фасада), на котором они располагаются;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2) на глухих торцах фасадов, не имеющих декоративных архитектурных деталей и отделки фасада в виде настенной росписи, мозаичного панно, </w:t>
      </w:r>
      <w:proofErr w:type="spellStart"/>
      <w:r>
        <w:t>цветографических</w:t>
      </w:r>
      <w:proofErr w:type="spellEnd"/>
      <w:r>
        <w:t xml:space="preserve"> композиций, вентилируемого фасада, декоративной штукатурки, </w:t>
      </w:r>
      <w:proofErr w:type="spellStart"/>
      <w:r>
        <w:t>керамогранита</w:t>
      </w:r>
      <w:proofErr w:type="spellEnd"/>
      <w:r>
        <w:t>, размещается не более одного настенного панно с расположением по его вертикальной центральной оси размером не менее 2/3 от общей высоты фасада. Нижний край панно должен совпадать с межэтажными перекрытиями здания. При размещении баннерного панно на всю высоту фасада нижний край панно не должен перекрывать цоколь здания;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3) на фасадах зданий и сооружений, имеющих одинаковые параметры, расположенных друг за другом вдоль одной магистрали, размещаются настенные панно только с одинаковыми геометрическими параметрами;</w:t>
      </w:r>
    </w:p>
    <w:p w:rsidR="003F7214" w:rsidRDefault="003F7214">
      <w:pPr>
        <w:pStyle w:val="ConsPlusNormal"/>
        <w:spacing w:before="220"/>
        <w:ind w:firstLine="540"/>
        <w:jc w:val="both"/>
      </w:pPr>
      <w:proofErr w:type="gramStart"/>
      <w:r>
        <w:t xml:space="preserve">4) размещение рекламных конструкций на объектах культурного наследия (памятниках истории и культуры) народов Российской Федерации, расположенных на территории города и включенных в единый государственный реестр объектов культурного наследия (памятников истории и культуры) народов Российской Федерации, их территориях осуществляется в случаях и на условиях, предусмотренных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25.06.2002 N 73-ФЗ "Об объектах культурного наследия (памятниках истории и культуры) народов Российской</w:t>
      </w:r>
      <w:proofErr w:type="gramEnd"/>
      <w:r>
        <w:t xml:space="preserve"> Федерации", с соблюдением требований к рекламе и ее распространению, установленным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13.03.2006 N 38-ФЗ "О рекламе".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7. Требования к оформлению зданий, строений, сооружений с использованием элементов граффити: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1) при оформлении фасадов зданий, строений, сооружений с использованием элементов граффити до начала выполнения указанных работ должны быть подготовлены и согласованы в установленном порядке изменения в паспорт фасадов (в случае его отсутствия - подготовлен и согласован в установленном порядке паспорт фасадов);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2) не допускается нанесение граффити на фасады: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объектов культурного наследия (памятников истории и культуры) народов Российской Федерации;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зданий, построенных ранее 1953 года;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зданий, строений и сооружений, фасады которых ориентированы на улицы, находящиеся в зоне особого городского значения, зоне повышенного внимания, установленных Правилами благоустройства территории города Красноярска;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зданий, занимаемых органами государственной власти Российской Федерации и Красноярского края, органами местного самоуправления, правоохранительными органами, их территориальными (отраслевыми) подразделениями;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зданий, признанных аварийными и подлежащими сносу;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lastRenderedPageBreak/>
        <w:t>объектов незавершенного строительства;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3) запрещается наносить граффити, содержащие: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рекламу (в том числе политическую), а также предвыборную агитацию и агитацию по вопросам референдума;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информацию, раскрытие или распространение либо доведение до потребителя которой является обязательным в соответствии с законодательством;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информацию и (или) объявления физических лиц или юридических лиц;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некорректные сравнения и высказывания;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изображения и высказывания, порочащие честь, достоинство или деловую репутацию физических либо юридических лиц;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изображения и высказывания, побуждающие к совершению противоправных действий;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изображения и высказывания, пропагандирующие войну, разжигание национальной и религиозной вражды, культ насилия или жестокости, экстремистскую деятельность (экстремизм);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изображения порнографического характера.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8. В целях сохранения внешнего архитектурного облика сложившейся </w:t>
      </w:r>
      <w:proofErr w:type="gramStart"/>
      <w:r>
        <w:t>застройки города</w:t>
      </w:r>
      <w:proofErr w:type="gramEnd"/>
      <w:r>
        <w:t xml:space="preserve"> не допускается: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рекламных (информационных) конструкций выше линии перекрытий между первым и вторым этажами, за исключением крышных конструкций и консольных конструкций на объектах нежилого назначения, а также кроме случаев установки рекламных конструкций на административно-офисных, торговых, культурно-развлекательных, спортивных объектах в соответствии с </w:t>
      </w:r>
      <w:proofErr w:type="gramStart"/>
      <w:r>
        <w:t>дизайн-проектом</w:t>
      </w:r>
      <w:proofErr w:type="gramEnd"/>
      <w:r>
        <w:t>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рекламных конструкций на лоджиях и балконах многоквартирных жилых домов (за исключением индивидуального архитектурно-художественного решения по всему фасаду многоквартирного жилого дома, оформленного в соответствии с </w:t>
      </w:r>
      <w:proofErr w:type="gramStart"/>
      <w:r>
        <w:t>дизайн-проектом</w:t>
      </w:r>
      <w:proofErr w:type="gramEnd"/>
      <w:r>
        <w:t>);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рекламных (информационных) конструкций на фасадах здания, строения, сооружения в два ряда - одна над другой (кроме случаев установки рекламных конструкций на административно-офисных, торговых, культурно-развлекательных, спортивных объектах в соответствии с </w:t>
      </w:r>
      <w:proofErr w:type="gramStart"/>
      <w:r>
        <w:t>дизайн-проектом</w:t>
      </w:r>
      <w:proofErr w:type="gramEnd"/>
      <w:r>
        <w:t>);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настенных панно, </w:t>
      </w:r>
      <w:proofErr w:type="spellStart"/>
      <w:r>
        <w:t>лайтбоксов</w:t>
      </w:r>
      <w:proofErr w:type="spellEnd"/>
      <w:r>
        <w:t xml:space="preserve"> на зданиях, построенных ранее 1953 года;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рекламных (информационных) конструкций на расстоянии </w:t>
      </w:r>
      <w:proofErr w:type="gramStart"/>
      <w:r>
        <w:t>ближе</w:t>
      </w:r>
      <w:proofErr w:type="gramEnd"/>
      <w:r>
        <w:t xml:space="preserve"> чем 2,0 м от мемориальных досок;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рекламных (информационных) конструкций путем пристройки такой конструкции к фасаду здания, строения, сооружения;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рекламы (информации) путем непосредственного нанесения на поверхность фасада, иных элементов здания, строения, сооружения декоративно-художественного и (или) текстового изображения;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рекламных (информационных) конструкций на зданиях, строениях, сооружениях, выполненных с использованием горючих материалов, за исключением строительной сетки;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lastRenderedPageBreak/>
        <w:t>размещение рекламных конструкций на проездах, в местах, предназначенных для парковки и стоянки автомобилей;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рекламных (информационных) конструкций на ограждающих конструкциях;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рекламных (информационных) конструкций на фасадах многоквартирных жилых домов с использованием </w:t>
      </w:r>
      <w:proofErr w:type="spellStart"/>
      <w:r>
        <w:t>светодинамических</w:t>
      </w:r>
      <w:proofErr w:type="spellEnd"/>
      <w:r>
        <w:t xml:space="preserve"> (мигающих, мерцающих, сменяющихся) элементов, за исключением элементов внутреннего оформления витрин;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и эксплуатация рекламных (информационных) конструкций без размещения на них рекламного сообщения (информации), повреждение рекламного (информационного) поля;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настенных панно на фасадах жилых домов, имеющих оконные проемы, за исключением размещения конструкций в соответствии с требованиями </w:t>
      </w:r>
      <w:hyperlink w:anchor="P62" w:history="1">
        <w:r>
          <w:rPr>
            <w:color w:val="0000FF"/>
          </w:rPr>
          <w:t>подпункта 4 пункта 5</w:t>
        </w:r>
      </w:hyperlink>
      <w:r>
        <w:t xml:space="preserve"> настоящего Регламента;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информационных конструкций на глухих фасадах зданий, строений, сооружений;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рекламных (информационных) конструкций, закрывающих декоративные архитектурные элементы фасадов зданий, строений, сооружений;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консольных рекламных (информационных) конструкций над козырьками, рядом с балконами, а также на объектах, ширина прилегающего к которым тротуара не превышает 1,0 м;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размещение рекламных (информационных) конструкций на сплошном, в том числе витражном, остеклении, за исключением конструкций из отдельных букв и </w:t>
      </w:r>
      <w:proofErr w:type="spellStart"/>
      <w:r>
        <w:t>медиафасадов</w:t>
      </w:r>
      <w:proofErr w:type="spellEnd"/>
      <w:r>
        <w:t>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рекламных (информационных) конструкций, за исключением консольных конструкций, с выступом за пределы фасада;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частичное или полное перекрытие рекламной (информационной) конструкцией знаков городской информации, оконных и (или) дверных проемов, а также витражей и витрин;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нарушение установленных требований к местам размещения и размерам информационных конструкций;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размещение информационных конструкций за пределами площадей внешних поверхностей объекта, соответствующих границам помещений, занимаемых данными организациями, индивидуальными предпринимателями.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9. Требования к устройству освещения улиц: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1) под устройством освещения понимается комплекс работ по ремонту, капитальному ремонту, реконструкции сетей наружного освещения, направленный на повышение надежности и совершенствования эксплуатационных характеристик путем применения современных технологий и материалов и доведение освещенности улично-дорожной сети города до нормативных параметров.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Устройство освещения включает в себя следующие виды работ: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установка и (или) замена опор, кронштейнов, светильников, подвесной или кабельной арматуры;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демонтаж и (или) монтаж провода, прокладка кабеля по опорам;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lastRenderedPageBreak/>
        <w:t>установка и (или) замена пульта управления наружным освещением (ПУНО);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подключение ПУНО к электрическим сетям (в зависимости от технических условий), может включать установку комплектной трансформаторной подстанции или вводного распределительного устройства;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заземление электроустановок;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пуско-наладочные работы;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2) устройство освещения улиц должно осуществляться с учетом: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 xml:space="preserve">экономичности и </w:t>
      </w:r>
      <w:proofErr w:type="spellStart"/>
      <w:r>
        <w:t>энергоэффективности</w:t>
      </w:r>
      <w:proofErr w:type="spellEnd"/>
      <w:r>
        <w:t xml:space="preserve"> применяемых элементов осветительных установок, рационального распределения и использования электроэнергии;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качества материалов и изделий с учетом восприятия в дневное и ночное время;</w:t>
      </w:r>
    </w:p>
    <w:p w:rsidR="003F7214" w:rsidRDefault="003F7214">
      <w:pPr>
        <w:pStyle w:val="ConsPlusNormal"/>
        <w:spacing w:before="220"/>
        <w:ind w:firstLine="540"/>
        <w:jc w:val="both"/>
      </w:pPr>
      <w:r>
        <w:t>удобств обслуживания и управления при разных режимах работы установок.</w:t>
      </w: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jc w:val="both"/>
      </w:pPr>
    </w:p>
    <w:p w:rsidR="003F7214" w:rsidRDefault="003F72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1F27" w:rsidRDefault="00F01F27"/>
    <w:sectPr w:rsidR="00F01F27" w:rsidSect="0055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14"/>
    <w:rsid w:val="003F7214"/>
    <w:rsid w:val="00F0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7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7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72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72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D65E915553065406A1084FD5197EE769B5F93FA048A8FF5D69858D9E789C4DD1c3C0M" TargetMode="External"/><Relationship Id="rId13" Type="http://schemas.openxmlformats.org/officeDocument/2006/relationships/hyperlink" Target="consultantplus://offline/ref=F7D65E915553065406A11642C37521E868B6A13AAB4AABAA013983DAC1c2C8M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7D65E915553065406A1084FD5197EE769B5F93FA048A8FC5869858D9E789C4DD1304E3F13D36A26AFA090C6cCC5M" TargetMode="External"/><Relationship Id="rId12" Type="http://schemas.openxmlformats.org/officeDocument/2006/relationships/hyperlink" Target="consultantplus://offline/ref=F7D65E915553065406A11642C37521E868B7A133A441ABAA013983DAC1c2C8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7D65E915553065406A11642C37521E868B6AE3BA049ABAA013983DAC1289A189170486A50976621cAC9M" TargetMode="External"/><Relationship Id="rId11" Type="http://schemas.openxmlformats.org/officeDocument/2006/relationships/hyperlink" Target="consultantplus://offline/ref=F7D65E915553065406A1084FD5197EE769B5F93FA341A8FF5D69858D9E789C4DD1304E3F13D36A26AFA094C7cCC4M" TargetMode="External"/><Relationship Id="rId5" Type="http://schemas.openxmlformats.org/officeDocument/2006/relationships/hyperlink" Target="consultantplus://offline/ref=F7D65E915553065406A1084FD5197EE769B5F93FA048A6FD5865858D9E789C4DD1304E3F13D36A26ABA291C6cCC3M" TargetMode="External"/><Relationship Id="rId15" Type="http://schemas.openxmlformats.org/officeDocument/2006/relationships/hyperlink" Target="consultantplus://offline/ref=F7D65E915553065406A11642C37521E868B6A13AAB4CABAA013983DAC1c2C8M" TargetMode="External"/><Relationship Id="rId10" Type="http://schemas.openxmlformats.org/officeDocument/2006/relationships/hyperlink" Target="consultantplus://offline/ref=F7D65E915553065406A1084FD5197EE769B5F93FA341A8FF5D69858D9E789C4DD1304E3F13D36A26AFcAC3M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7D65E915553065406A1084FD5197EE769B5F93FA341A8FF5D69858D9E789C4DD1304E3F13D36A26AFA093CAcCCCM" TargetMode="External"/><Relationship Id="rId14" Type="http://schemas.openxmlformats.org/officeDocument/2006/relationships/hyperlink" Target="consultantplus://offline/ref=F7D65E915553065406A11642C37521E868B6A13AAB4AABAA013983DAC1c2C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D1E7F-CB33-41EE-9883-F98B0B6F87DE}"/>
</file>

<file path=customXml/itemProps2.xml><?xml version="1.0" encoding="utf-8"?>
<ds:datastoreItem xmlns:ds="http://schemas.openxmlformats.org/officeDocument/2006/customXml" ds:itemID="{753A448A-3DC7-425B-BE2C-23DA4222E03E}"/>
</file>

<file path=customXml/itemProps3.xml><?xml version="1.0" encoding="utf-8"?>
<ds:datastoreItem xmlns:ds="http://schemas.openxmlformats.org/officeDocument/2006/customXml" ds:itemID="{8B333337-6C0F-4618-8303-2C156BE90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Пупышев Александр Викторович</dc:creator>
  <cp:lastModifiedBy>Пупышев Александр Викторович</cp:lastModifiedBy>
  <cp:revision>1</cp:revision>
  <dcterms:created xsi:type="dcterms:W3CDTF">2018-05-21T12:02:00Z</dcterms:created>
  <dcterms:modified xsi:type="dcterms:W3CDTF">2018-05-21T12:03:00Z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