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A" w:rsidRPr="00000C4A" w:rsidRDefault="00000C4A" w:rsidP="000B75D2">
      <w:pPr>
        <w:jc w:val="both"/>
        <w:rPr>
          <w:sz w:val="28"/>
          <w:szCs w:val="28"/>
        </w:rPr>
      </w:pPr>
    </w:p>
    <w:p w:rsidR="00344CB9" w:rsidRDefault="00344CB9" w:rsidP="00344CB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 w:rsidRPr="00344CB9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344CB9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344CB9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344CB9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admkrsk</w:instrText>
      </w:r>
      <w:r w:rsidRPr="00344CB9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344CB9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3"/>
          <w:sz w:val="28"/>
          <w:szCs w:val="28"/>
          <w:lang w:val="en-US"/>
        </w:rPr>
        <w:t>www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admkrsk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ТРУД И ЗАНЯТОСТЬ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19.06.2019 N 778 "О внесении изменения в список производств с вредными условиями труда, работа на которых дает право гражданам, занятым на работах с химическим оружием, на меры социальной поддержки"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Список производств с вредными условиями труда, работа на которых дает право гражданам, занятым на работах с химическим оружием, на меры социальной поддержки, приведен в соответствие с действующим административно-территориальным делением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Указами Президента РФ от 17.07.2018 N 424 "Об упразднении закрытого административно-территориального образования - г. Шиханы Саратовской области" и от 13.10.2018 N 587 "Об упразднении закрытого административно-территориального образования - поселка Михайловского Саратовской области" ЗАТО г. Шиханы и ЗАТО пос. Михайловский были упразднены. Оперативное обслуживание объектов, на которых производятся работы с химическим оружием на указанных территориях, было передано МО МВД России по ЗАТО п. Светлый Саратовской области.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Настоящим Постановлением соответствующие изменения внесены в Список производств с вредными условиями труда, работа на которых дает право гражданам, занятым на работах с химическим оружием, на меры социальной поддержки, утвержденный Постановлением Правительства РФ от 29.03.2002 N 188.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 Минтруда России от 09.04.2019 N 227н "Об утверждении профессионального стандарта "Специалист по контролю затрат проектов сооружения объектов использования атомной энергии" Зарегистрировано в Минюсте России 19.06.2019 N 54959.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Утвержден профессиональный стандарт для специалистов по контролю затрат проектов сооружения объектов использования атомной энергии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Согласно стандарту целью деятельности данных специалистов является оценка стоимости затрат проектов сооружения ОИАЭ на всех фазах жизненного цикла проекта по методологии оценки стоимости.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функции данных специалистов входит: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стоимостная оценка (бюджет) проектов сооружения ОИАЭ;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мониторинг изменений бюджета проектов при сооружении ОИАЭ;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оценка прогресса реализации проекта при сооружении ОИАЭ;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руководство структурным подразделением, осуществляющим деятельность по контролю затрат проектов при сооружении ОИАЭ.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Стандартом устанавливаются требования к образованию и опыту работы, необходимым специалисту для выполнения этих функций.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 Минтруда России от 09.04.2019 N 228н "Об утверждении профессионального стандарта "Специалист по ценообразованию и сметному делу при сооружении объектов использования атомной энергии" Зарегистрировано в Минюсте России 19.06.2019 N 54958.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Утвержден профессиональный стандарт для специалистов по ценообразованию и сметному делу при сооружении объектов использования атомной энергии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Согласно стандарту целью деятельности данных специалистов является формирование сметной стоимости при сооружении объектов использования атомной энергии и проверка ее достоверности.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функции данных специалистов входит: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сметное нормирование и ценообразование при сооружении ОИАЭ;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проверка обоснованности сметной стоимости, определенной в составе проектно-сметной документации при сооружении ОИАЭ;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руководство структурным подразделением, осуществляющим деятельность по формированию сметной стоимости при сооружении ОИАЭ.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Стандартом устанавливаются требования к образованию и опыту работы, необходимым специалисту для выполнения этих функций.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Приказ </w:t>
      </w:r>
      <w:proofErr w:type="spellStart"/>
      <w:r w:rsidRPr="000B75D2">
        <w:rPr>
          <w:sz w:val="28"/>
          <w:szCs w:val="28"/>
        </w:rPr>
        <w:t>Минпросвещения</w:t>
      </w:r>
      <w:proofErr w:type="spellEnd"/>
      <w:r w:rsidRPr="000B75D2">
        <w:rPr>
          <w:sz w:val="28"/>
          <w:szCs w:val="28"/>
        </w:rPr>
        <w:t xml:space="preserve"> России от 25.04.2019 N 208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Зарегистрировано в Минюсте России 24.06.2019 N 55009.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2735F3" w:rsidRDefault="002735F3" w:rsidP="000B75D2">
      <w:pPr>
        <w:jc w:val="both"/>
        <w:rPr>
          <w:sz w:val="28"/>
          <w:szCs w:val="28"/>
        </w:rPr>
      </w:pPr>
    </w:p>
    <w:p w:rsidR="002735F3" w:rsidRDefault="002735F3" w:rsidP="000B75D2">
      <w:pPr>
        <w:jc w:val="both"/>
        <w:rPr>
          <w:sz w:val="28"/>
          <w:szCs w:val="28"/>
        </w:rPr>
      </w:pPr>
    </w:p>
    <w:p w:rsidR="002735F3" w:rsidRDefault="002735F3" w:rsidP="000B75D2">
      <w:pPr>
        <w:jc w:val="both"/>
        <w:rPr>
          <w:sz w:val="28"/>
          <w:szCs w:val="28"/>
        </w:rPr>
      </w:pPr>
    </w:p>
    <w:p w:rsidR="002735F3" w:rsidRDefault="002735F3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• СОЦИАЛЬНОЕ ОБЕСПЕЧЕНИЕ И СОЦИАЛЬНОЕ СТРАХОВАНИЕ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802 "О внесении изменений в постановление Правительства Российской Федерации от 29 декабря 2004 г. N 864"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Введены формулы расчета для определения объемов финансирования </w:t>
      </w:r>
      <w:proofErr w:type="spellStart"/>
      <w:r w:rsidRPr="000B75D2">
        <w:rPr>
          <w:sz w:val="28"/>
          <w:szCs w:val="28"/>
        </w:rPr>
        <w:t>соцуслуг</w:t>
      </w:r>
      <w:proofErr w:type="spellEnd"/>
      <w:r w:rsidRPr="000B75D2">
        <w:rPr>
          <w:sz w:val="28"/>
          <w:szCs w:val="28"/>
        </w:rPr>
        <w:t xml:space="preserve"> по обеспечению льготников санаторными путевками, бесплатным проездом и медикаментами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Расчет финансового обеспечения расходов по предоставлению гражданам государственной социальной помощи в виде набора социальных услуг осуществляется, в том числе исходя: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из средней стоимости одного дня пребывания в санаторно-курортной организации;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расчета нормативов финансовых затрат в месяц на одного гражданина, получающего социальную помощь в виде обеспечения лекарственными препаратами, в виде санаторно-курортного лечения, в виде бесплатного проезда к месту лечения и обратно, а также проезда в пригородном сообщении.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Принятым Постановлением введены формулы расчета указанных показателей.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25.06.2019 N 805 "О внесении изменений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Обновлен перечень производств, профессий сельского хозяйства для установления повышенного размера пенсии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соответствии с частью 14 статьи 17 Федерального закона "О страховых пенсиях" лица,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 по старости и по инвалидности.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Правительством РФ утверждена новая редакция списка работ, производств, профессий, должностей и специальностей, в соответствии с которыми устанавливается повышение размера указанной фиксированной выплаты. В </w:t>
      </w:r>
      <w:r w:rsidRPr="000B75D2">
        <w:rPr>
          <w:sz w:val="28"/>
          <w:szCs w:val="28"/>
        </w:rPr>
        <w:lastRenderedPageBreak/>
        <w:t>новом списке учтены, в частности, работы в структурных подразделениях растениеводческого (животноводческого) направления организации, основным видом деятельности которой не является сельское хозяйство.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список включены также индивидуальные предприниматели, являющиеся сельскохозяйственными товаропроизводителями.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Положения данного Постановления распространены на правоотношения, возникшие с 1 января 2019 года.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• ФИНАНСЫ. НАЛОГИ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13.06.2019 N 755 "О внесении изменений в постановление Правительства Российской Федерации от 15 февраля 2018 г. N 158"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условия предоставления синдицированных кредитов в рамках программы "Фабрика проектного финансирования"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Целью данной Программы является создание механизма проектного финансирования </w:t>
      </w:r>
      <w:proofErr w:type="spellStart"/>
      <w:r w:rsidRPr="000B75D2">
        <w:rPr>
          <w:sz w:val="28"/>
          <w:szCs w:val="28"/>
        </w:rPr>
        <w:t>инвестпроектов</w:t>
      </w:r>
      <w:proofErr w:type="spellEnd"/>
      <w:r w:rsidRPr="000B75D2">
        <w:rPr>
          <w:sz w:val="28"/>
          <w:szCs w:val="28"/>
        </w:rPr>
        <w:t>, предусматривающего предоставление денежных средств заемщикам на основании договоров синдицированного кредита, реализуемого с применением мер господдержки.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Поправками, в частности: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предусмотрена возможность отмены залогового обеспечения исполнения денежных обязательств заемщика по договору синдицированного кредита при наличии иного обеспечения, а также возможность рефинансирования кредитов и займов, предоставленных ранее на цели финансирования соответствующих </w:t>
      </w:r>
      <w:proofErr w:type="spellStart"/>
      <w:r w:rsidRPr="000B75D2">
        <w:rPr>
          <w:sz w:val="28"/>
          <w:szCs w:val="28"/>
        </w:rPr>
        <w:t>инвестпроектов</w:t>
      </w:r>
      <w:proofErr w:type="spellEnd"/>
      <w:r w:rsidRPr="000B75D2">
        <w:rPr>
          <w:sz w:val="28"/>
          <w:szCs w:val="28"/>
        </w:rPr>
        <w:t>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срок окончания первого этапа реализации Программы продлен с 1 января 2019 года до 1 января 2021 года;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обязанности Внешэкономбанка при выполнении функций оператора Программы, а также условия предоставления синдицированных кредитов;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скорректированы отраслевые направления финансирования инвестиционных проектов, реализуемых в рамках механизма "Фабрики", а также порядок предоставления субсидий из федерального бюджета в виде имущественных взносов РФ в ВЭБ.РФ на возмещение расходов в связи с предоставлением кредитов и займов в рамках реализации механизма "Фабрики".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Постановление Правительства РФ от 22.06.2019 N 792 "О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Инвестирование средств резерва ПФР по обязательному пенсионному страхованию будет осуществляться по новым правилам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настоящее время резерв ПФР инвестируется с учетом особенностей, предусмотренных для инвестирования средств страховых взносов на финансирование накопительной пенсии. Указанные суммы, поступающие в течение финансового года, аккумулируются ПФР и подлежат инвестированию только до момента их персонификации, после чего передаются в доверительное управление либо НПФ, в то время как средства резерва ПФР не имеют ограничения по срокам инвестирования.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Таким образом, принято решение разделить порядок размещения резерва ПФР и порядок инвестирования сумм страховых взносов на финансирование накопительной пенсии, поступающих в течение финансового года в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Установлено, что объем средств резерва, подлежащий инвестированию, и срок, в течение которого средства резерва подлежат инвестированию, определяются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Установлены требования к кредитным организациям, на депозиты которых допускается размещение средств резерва, порядок такого размещения, а также условия размещения средств в государственные ценные бумаги.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Отчет о направлениях, объемах и результатах инвестирования средств резерва, составляемый ежеквартально нарастающим итогом по утвержденной форме, представляется в Минтруд России и Минфин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Признается утратившим силу Постановление Правительства РФ от 22 июля 2014 г. N 686, которым были утверждены правила инвестирования резерва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Настоящее Постановление вступает в силу по истечении 180 дней со дня его официального опубликования, за исключением отдельных положений, вступающих в силу со дня его официального опубликования.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796 "Об общих требованиях к оценке налоговых расходов субъектов Российской Федерации и муниципальных образований"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Определены общие требования к порядку и критериям оценки налоговых расходов субъектов РФ и муниципальных образований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эффективности налоговых расходов осуществляется кураторами налоговых расходов - органами исполнительной власти (местной администрации), ответственными за достижение соответствующих налоговому расходу целей государственной программы субъекта РФ (муниципальной программы) и (или) целей социально-экономической политики, не относящихся к государственным программам.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целесообразности налоговых расходов осуществляется на основании критериев: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соответствия налоговых расходов целям государственных (муниципальных) программ (целям социально-экономической политики);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востребованности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иных критериев, устанавливаемых при необходимости кураторами налоговых расходов.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госпрограммы (целей социально-экономической политики), либо иной показатель (индикатор), на значение которого оказывают влияние налоговые расходы субъекта РФ (муниципального образования).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результативности налоговых расходов включает: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оценку бюджетной эффективности, осуществляемой на основании сравнительного анализа результативности предоставления льгот и результативности применения альтернативных механизмов достижения целей;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оценку совокупного бюджетного эффекта (самоокупаемости) стимулирующих налоговых расходов за период с начала действия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установленной формуле.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Результаты рассмотрения оценки налоговых расходов субъектов Российской Федерации (муниципальных образований) учитываются, в частности, при </w:t>
      </w:r>
      <w:r w:rsidRPr="000B75D2">
        <w:rPr>
          <w:sz w:val="28"/>
          <w:szCs w:val="28"/>
        </w:rPr>
        <w:lastRenderedPageBreak/>
        <w:t>формировании основных направлений бюджетной и налоговой политики субъектов Российской Федерации (муниципальных образований).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804 "О внесении изменений в пункт 4 постановления Правительства Российской Федерации от 19 января 1998 г. N 47"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 порядок применения правил ведения раздельного учета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Согласно внесенным изменениям, Правила ведения организациями, выполняющими государственный заказ за счет средств федерального бюджета (за исключением организаций, выполняющих государственный оборонный заказ), раздельного учета результатов финансово-хозяйственной деятельности и Правила ведения организациями, выполняющими государственный оборонный заказ, раздельного учета результатов финансово-хозяйственной деятельности не применяются организациями, осуществляющими ведение раздельного учета результатов финансово-хозяйственной деятельности в порядке, установленном Минфином России, при использовании полученных ими на основании государственных контрактов (договоров) средств, подлежащих казначейскому сопровождению в соответствии с бюджетным законодательством РФ, до полного исполнения государственных контрактов (договоров).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 Минсельхоза России от 04.04.2019 N 167 "Об утверждении форм документов об использовании средств бюджетов субъектов Российской Федерации, предусмотренных приложениями NN 7 - 9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сроков их представления" Зарегистрировано в Минюсте России 26.06.2019 N 55052.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Обновлены формы отчетных документов об использовании субсидий на развитие растениеводства, агропромышленного комплекса и повышение продуктивности в молочном скотоводстве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Речь идет о формах документов, содержащих информацию об использовании средств бюджетов субъектов РФ: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- источником финансового обеспечения которых являются субсидии на оказание несвязанной поддержки в области растениеводства;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- в целях </w:t>
      </w:r>
      <w:proofErr w:type="spellStart"/>
      <w:r w:rsidRPr="000B75D2">
        <w:rPr>
          <w:sz w:val="28"/>
          <w:szCs w:val="28"/>
        </w:rPr>
        <w:t>софинансирования</w:t>
      </w:r>
      <w:proofErr w:type="spellEnd"/>
      <w:r w:rsidRPr="000B75D2">
        <w:rPr>
          <w:sz w:val="28"/>
          <w:szCs w:val="28"/>
        </w:rPr>
        <w:t xml:space="preserve"> расходных обязательств которых предоставляются субсидии на повышение продуктивности в молочном скотоводстве;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- в целях </w:t>
      </w:r>
      <w:proofErr w:type="spellStart"/>
      <w:r w:rsidRPr="000B75D2">
        <w:rPr>
          <w:sz w:val="28"/>
          <w:szCs w:val="28"/>
        </w:rPr>
        <w:t>софинансирования</w:t>
      </w:r>
      <w:proofErr w:type="spellEnd"/>
      <w:r w:rsidRPr="000B75D2">
        <w:rPr>
          <w:sz w:val="28"/>
          <w:szCs w:val="28"/>
        </w:rPr>
        <w:t xml:space="preserve"> расходных обязательств которых предоставляется субсидия на содействие достижению целевых показателей региональных программ развития агропромышленного комплекса.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Утратившим силу признается Приказ Минсельхоза России от 10.04.2018 N 148, которым были утверждены ранее действовавшие аналогичные формы документов.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 ФНС России от 22.05.2019 N ММВ-7-14/259@ "Об утверждении формы сведений, представляемых в соответствии с пунктом 9 статьи 85 Налогового кодекса Российской Федерации, а также порядка ее заполнения" Зарегистрировано в Минюсте России 19.06.2019 N 54978.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Утверждена форма, в соответствии с которой представляются сведения в налоговые органы о внесении в реестр филиалов и представительств международных и иностранных организаций (форма РФП_М)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Приказом ФНС России утверждены: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форма РФП_М "Сведения о внесении в реестр филиалов и представительств международных организаций и иностранных некоммерческих неправительственных организаций, реестр представительств иностранных религиозных организаций, открытых в Российской Федерации, сведений о филиалах, представительствах международных, иностранных некоммерческих неправительственных, иностранных религиозных организаций (об изменениях, вносимых в реестры)";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порядок заполнения данной формы.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Признаны утратившими силу, в частности, отдельные пункты Приказа ФНС России от 17.09.2007 N ММ-3-09/536@, касающиеся утверждения аналогичных форм представления сведений.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07.06.2019 N БС-4-21/11002@ "Об информационной кампании по тематике исполнения налоговых уведомлений, направленных физическим лицам в 2019 г."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Налоговыми органами планируется проведение информационной кампании, посвященной уплате физлицами имущественных налогов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Предписано провести информационную кампанию по тематике исполнения налоговых уведомлений, направленных физлицам в 2019 году.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Для проведения информационной кампании разработаны: типовой (рекомендуемый) план проведения; рекомендуемые разъяснительные материалы; рекомендуемое информационное сообщение о сроке исполнения налоговых уведомлений в 2019 г.; форма отчета о результатах проведенной кампании.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План мероприятий включает, в частности, размещение сообщений (интервью, новостных лент и т.п.) по вопросам уплаты имущественных налогов физлицами в 2019 году (в т.ч. о сроках уплаты налогов, порядке предоставления налоговых льгот, об особенностях налогообложения имущества отдельных видов); а также проведение тематических семинаров и "круглых" столов.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разъяснительных материалах сообщается, в частности, следующее: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налоговый орган не позднее 30 дней до наступления срока платежа по налогам направляет налогоплательщику налоговое уведомление;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налог, подлежащий уплате физлицами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Приведена подробная информация, касающаяся изменений в порядке налогообложения имущества физлиц.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Если, по мнению налогоплательщика, в налоговом уведомлении имеется неактуальная (некорректная) информация, налоговому органу требуется проведение проверки на предмет подтверждения наличия/отсутствия оснований для перерасчета налогов и изменения налогового уведомления.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 неполучении до 1 ноября налогового уведомления налогоплательщику необходимо обратиться в налоговую инспекцию либо направить информацию через "Личный кабинет налогоплательщика" или с использованием интернет-сервиса ФНС России "Обратиться в ФНС России".</w:t>
      </w:r>
      <w:r w:rsidRPr="000B75D2">
        <w:rPr>
          <w:sz w:val="28"/>
          <w:szCs w:val="28"/>
        </w:rPr>
        <w:cr/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Письмо Минфина России от 11.06.2019 N 21-08-11/42596 "Об уплате НДФЛ"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 России разъяснил требования по заполнению в платежках реквизита "107"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Данный реквизит имеет 10 знаков и используется для указания периодичности или конкретной даты уплаты налогового платежа.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Периодичность может быть месячной, квартальной, полугодовой и годовой. В этой связи в первых двух знаках реквизита необходимо указать, соответственно: МС, КВ, ПЛ, ГД.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Знаки 3 и 6 - разделительные, в них ставится точка.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4-м и 5-м знаках указывается: номер месяца (от 01 до 12), либо номер квартала (01 - 04), либо номер полугодия (01 или 02), либо, для годового платежа, - два нуля.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7 - 10-м знаках указывается год, за который производится уплата.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Например: МС.02.2013; КВ.01.2013; ПЛ.02.2013; ГД.00.2013.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перечисления сумм за прошлые налоговые периоды, в реквизите указывается период, за который производится доплата.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14.06.2019 N СД-4-3/11497@ "О внесении изменений в контрольные соотношения налоговой декларации по НДД"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контрольные соотношения показателей налоговой декларации по НДД от добычи углеводородного сырья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Внесены изменения в контрольные соотношения показателей налоговой декларации по налогу на дополнительный доход от добычи углеводородного сырья, доведенные письмом ФНС России от 20.03.2019 N СД-4-3/4952@.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Соблюдение указанных контрольных соотношений обеспечивает корректное формирование показателей налоговой декларации по НДД (форма утверждена приказом ФНС России от 20.12.2018 N ММВ-7-3/828@).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Минфина России N 09-01-09/44547, Казначейства России N 07-04-05/22-12581 от 18.06.2019 &lt;о казначейском сопровождении средств, получаемых юридическими лицами из бюджетов субъектов </w:t>
      </w:r>
      <w:proofErr w:type="spellStart"/>
      <w:r w:rsidRPr="000B75D2">
        <w:rPr>
          <w:sz w:val="28"/>
          <w:szCs w:val="28"/>
        </w:rPr>
        <w:t>рф</w:t>
      </w:r>
      <w:proofErr w:type="spellEnd"/>
      <w:r w:rsidRPr="000B75D2">
        <w:rPr>
          <w:sz w:val="28"/>
          <w:szCs w:val="28"/>
        </w:rPr>
        <w:t xml:space="preserve"> (местных бюджетов)&gt;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Сообщены особенности формирования ТОФК идентификатора </w:t>
      </w:r>
      <w:proofErr w:type="spellStart"/>
      <w:r w:rsidRPr="000B75D2">
        <w:rPr>
          <w:sz w:val="28"/>
          <w:szCs w:val="28"/>
        </w:rPr>
        <w:t>госконтракта</w:t>
      </w:r>
      <w:proofErr w:type="spellEnd"/>
      <w:r w:rsidRPr="000B75D2">
        <w:rPr>
          <w:sz w:val="28"/>
          <w:szCs w:val="28"/>
        </w:rPr>
        <w:t xml:space="preserve"> (соглашения, договора)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Для идентификации государственных (муниципальных) контрактов, заключаемых получателями средств бюджета субъекта РФ (местного </w:t>
      </w:r>
      <w:r w:rsidRPr="000B75D2">
        <w:rPr>
          <w:sz w:val="28"/>
          <w:szCs w:val="28"/>
        </w:rPr>
        <w:lastRenderedPageBreak/>
        <w:t xml:space="preserve">бюджета), контрактов (договоров), заключаемых бюджетными и автономными учреждениями, соглашений (договоров) о предоставлении субсидий (бюджетных инвестиций) используется идентификатор, сформированный ТОФК с учетом особенностей, содержащихся в настоящем письме (приведена структура </w:t>
      </w:r>
      <w:proofErr w:type="spellStart"/>
      <w:r w:rsidRPr="000B75D2">
        <w:rPr>
          <w:sz w:val="28"/>
          <w:szCs w:val="28"/>
        </w:rPr>
        <w:t>двадцатипятизначного</w:t>
      </w:r>
      <w:proofErr w:type="spellEnd"/>
      <w:r w:rsidRPr="000B75D2">
        <w:rPr>
          <w:sz w:val="28"/>
          <w:szCs w:val="28"/>
        </w:rPr>
        <w:t xml:space="preserve"> буквенно-цифрового кода идентификатора).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Санкционирование расходов, источником финансового обеспечения которых являются целевые средства, осуществляется на основании Сведений об операциях с целевыми средствами (код формы по ОКУД 0501213).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в частности, что в целях осуществления расходов формирование указанных Сведений возможно осуществлять с указанием в табличной части в графах 1 и 2 следующих наименований и кодов источников поступлений целевых средств: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"7113" - расчеты по контрактам (договорам), заключаемым получателями субсидий с исполнителями по контрактам (договорам), а также расчеты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такие субсидии;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"7223" - расчеты по контрактам (договорам), заключаемым получателями бюджетных инвестиций с исполнителями по контрактам (договорам), а также расчеты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такие бюджетные инвестиции;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"7510" - расчеты по контрактам (договорам), заключаемым бюджетными и автономными учреждениями;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"7560" - расчеты по контрактам (договорам), заключаемым исполнителями и соисполнителями в рамках исполнения контрактов (договоров), заключаемых бюджетными и автономными учреждениями;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"7610" - расчеты по государственным (муниципальным) контрактам, заключаемым государственными (муниципальными) заказчиками;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"7670" - расчеты по контрактам (договорам), заключаемым исполнителями и соисполнителями в рамках исполнения государственных (муниципальных) контрактов.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21.06.2019 N БС-4-21/12067@ "О внесении изменений в Методические рекомендации, направленные письмом ФНС России от 10.01.2018 N БС-4-21/147@"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Методические рекомендации по обработке налоговыми органами поступающих от физлиц заявлений, связанных с уплатой имущественных налогов, дополнены новыми формами документов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связи с утверждением формы заявления о гибели или уничтожении объекта налогообложения по налогу на имущество физических лиц вносятся изменения и дополнения в методические рекомендации, направленные письмом ФНС России от 10.01.2018 N БС-4-21/147@.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частности, включены новые формы: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уведомления о прекращении исчисления налога на имущество физических лиц в связи с гибелью или уничтожением объекта налогообложения;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сообщения об отсутствии основания для прекращения исчисления налога на имущество физических лиц в связи с гибелью или уничтожением объекта налогообложения;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типовая (рекомендуемая) форма запроса налогового органа в орган и иному лицу, у которых имеются сведения, подтверждающие факт гибели или уничтожения объекта налогообложения по налогу на имущество физических лиц;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типовая (рекомендуемая) форма сообщения налогового органа о неполучении сведений, подтверждающих факт гибели или уничтожения объекта налогообложения по налогу на имущество физических лиц.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"Методические рекомендации по составлению реестров расходных обязательств главных распорядителей средств федерального бюджета (бюджетов государственных внебюджетных фондов Российской Федерации) на 2020 год и на плановый период 2021 и 2022 годов"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целей составления реестров расходных обязательств главных распорядителей средств федерального бюджета (бюджетов ГВБФ) подготовлены Методические рекомендации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составляются с целью учета расходных обязательств РФ, подлежащих исполнению за счет бюджетных ассигнований, и определения объема средств федерального бюджета и бюджетов ГВБФ на 2020 год и на плановый период 2021 и 2022 годов, необходимого для их исполнения.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Реестр расходных обязательств формируется в ГИИС "Электронный бюджет", а в отношении сведений, относящихся к </w:t>
      </w:r>
      <w:proofErr w:type="spellStart"/>
      <w:r w:rsidRPr="000B75D2">
        <w:rPr>
          <w:sz w:val="28"/>
          <w:szCs w:val="28"/>
        </w:rPr>
        <w:t>гостайне</w:t>
      </w:r>
      <w:proofErr w:type="spellEnd"/>
      <w:r w:rsidRPr="000B75D2">
        <w:rPr>
          <w:sz w:val="28"/>
          <w:szCs w:val="28"/>
        </w:rPr>
        <w:t xml:space="preserve">, - с </w:t>
      </w:r>
      <w:r w:rsidRPr="000B75D2">
        <w:rPr>
          <w:sz w:val="28"/>
          <w:szCs w:val="28"/>
        </w:rPr>
        <w:lastRenderedPageBreak/>
        <w:t>использованием специального программного обеспечения информационной системы, предоставляемого Минфином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 составляется по форме, утвержденной приказом Минфина России от 27.02.2017 N 24н.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формирования реестра используются классификаторы, реестры и справочники, ведение которых осуществляется Минфином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главных распорядителей средств федерального бюджета подлежат направлению в Минфин России одновременно с предложениями по распределению по кодам классификации расходов бюджетов базовых бюджетных ассигнований, выделяемых на реализацию госпрограмм и непрограммные направления деятельности.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расходных обязательств главных распорядителей средств бюджетов ГВБФ подлежат направлению в Минтруд России (в части ПФР и ФСС РФ) и Минздрав России (в части ФФОМС).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"О порядке регистрации ККТ в выходные дни 29.06.2019 и 30.06.2019"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выходные дни 29 и 30 июня 2019 года в налоговых инспекциях будет осуществляться регистрация ККТ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Это связано с тем, что налогоплательщики, применяющие ПСН и ЕНВД, вправе применить налоговый вычет (уменьшить сумму налога на сумму расходов по приобретению ККТ) в размере не более 18 тысяч рублей на каждый экземпляр ККТ при условии ее регистрации в налоговых органах до 01.07.2019.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оказания содействия в реализации прав налогоплательщиков на применение налогового вычета 29.06.2019 и 30.06.2019 в территориальных налоговых органах будет осуществляться услуга по регистрации ККТ, используемой организациями и индивидуальными предпринимателями в соответствии с законодательством РФ о применении ККТ.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"Налоговая проверка может проводиться в отношении физлица, даже если оно уже утратило статус ИП"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Налоговая инспекция правомерно оштрафовала ИП, который снялся с учета, но продолжил осуществлять предпринимательскую деятельность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ходе выездной налоговой проверки деятельности физлица за три года было установлено, что половину проверяемого периода налогоплательщик был </w:t>
      </w:r>
      <w:r w:rsidRPr="000B75D2">
        <w:rPr>
          <w:sz w:val="28"/>
          <w:szCs w:val="28"/>
        </w:rPr>
        <w:lastRenderedPageBreak/>
        <w:t>зарегистрирован как ИП, а затем снялся с учета, однако продолжил заниматься предпринимательской деятельностью.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Поскольку налогоплательщик не уплачивал налоги за проверяемый период, налоговая инспекция привлекла его к ответственности.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 рассмотрении спора суд указал, что прекращение деятельности в качестве ИП не является обстоятельством, которое влечет прекращение обязанности по уплате налогов от осуществления такой деятельности.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видов расходов и направлений расходов, содержащихся в целевых статьях, классификации расходов бюджетов на 2020 год и на плановый период 2021 и 2022 годов"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Минфином России приведена таблица соответствия форм бюджетных ассигнований кодам видов расходов и направлений расходов по состоянию на 21.06.2019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таблице содержатся наименования форм обоснований бюджетных ассигнований с указанием кодов по ОКУД, а также КВР, направления расходов и коды главы по БК, осуществляющей формирование формы (всего 111 позиций).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классификации источников финансирования дефицитов бюджетов Российской Федерации"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 России разработал таблицу соответствия форм обоснований бюджетных ассигнований кодам классификации источников финансирования дефицитов бюджетов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таблице содержатся наименования форм обоснований бюджетных ассигнований с указанием кодов по ОКУД и соответствующие КБК.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&lt;информация&gt; ФСС РФ &lt;об определении параметров отбора заявок кредитных организаций на заключение договоров банковского депозита&gt;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ФСС РФ обновлены условия размещения средств на банковские депозиты в кредитных организациях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что максимальный размер средств, размещаемых на банковские депозиты в кредитных организациях, составляет 163 136 142 390,00 рублей.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Срок размещения страхового резерва составляет 30 дней.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Минимальная процентная ставка размещения средств составляет 7,14% годовых. Процентная ставка фиксируется на весь срок действия депозита. Выплата процентного дохода осуществляется ежемесячно.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Отбор заявок кредитных организаций на заключение договоров банковского депозита проводится 25 июня 2019 года.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ФСС РФ "Установление страховых тарифов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годов. Порядок подтверждения основного вида экономической деятельности страхователя"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Страховые взносы в ФСС РФ: тарифы, льготы, классификация видов экономической деятельности, подтверждение основного вида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ФСС РФ подготовлена подробная информация, касающаяся уплаты страховых взносов на ОСС от несчастных случаев на производстве и профзаболеваний.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в частности, что страховые взносы на обязательное социальное страхование от несчастных случаев на производстве и профзаболеваний уплачиваются в порядке и по тарифам, которые установлены Федеральным законом от 22.12.2005 N 179-ФЗ.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2019 - 2021 годах сохраняется льгота по уплате страховых взносов (60 процентов от размеров страховых тарифов), которая установлена названным Федеральным законом в отношении выплат в пользу инвалидов.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База для начисления страховых взносов определяется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настоящее время сохраняются 32 страховых тарифа (от 0,2 до 8,5%), дифференцированных по видам экономической деятельности в зависимости от класса профессионального риска.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Приказом Минтруда России от 30 декабря 2016 года N 851н утверждена Классификация видов экономической деятельности по классам профессионального риска, сформированная на основе наименований видов экономической деятельности в соответствии с кодами по ОКВЭД2.</w:t>
      </w:r>
      <w:r w:rsidRPr="000B75D2">
        <w:rPr>
          <w:sz w:val="28"/>
          <w:szCs w:val="28"/>
        </w:rPr>
        <w:cr/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В целях определения класса профессионального риска и соответствующего этому классу размера страхового тарифа территориальными органами ФСС РФ оказывается услуга по подтверждению основного вида экономической деятельности страхователей (их подразделений).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Основной вид экономической деятельности страхователей, зарегистрированных в 2019 году, определяется согласно заявленному коду по ОКВЭД2 при госрегистрации и внесенному в ЕГРЮЛ (ЕГРИП), соответственно.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Начиная со второго года деятельности, страхователь для подтверждения ОВЭД ежегодно в срок не позднее 15 апреля представляет в орган ФСС РФ пакет документов (заявление, справку-подтверждение,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изменения сведений о кодах по ОКВЭД, содержащихся в ЕГРЮЛ и ЕГРИП, ЮЛ и ИП обязаны в течение трех рабочих дней с момента изменения сведений сообщить об этом в регистрирующий (налоговый) орган по месту своего нахождения.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Консультации по вопросам предоставления государственной услуги, в том числе в электронном виде через единый портал </w:t>
      </w:r>
      <w:proofErr w:type="spellStart"/>
      <w:r w:rsidRPr="000B75D2">
        <w:rPr>
          <w:sz w:val="28"/>
          <w:szCs w:val="28"/>
        </w:rPr>
        <w:t>госуслуг</w:t>
      </w:r>
      <w:proofErr w:type="spellEnd"/>
      <w:r w:rsidRPr="000B75D2">
        <w:rPr>
          <w:sz w:val="28"/>
          <w:szCs w:val="28"/>
        </w:rPr>
        <w:t xml:space="preserve">, страхователь может получить в территориальном органе ФСС РФ по месту регистрации (контактная информация размещена на официальном сайте Фонда: www.fss.ru), а также в службе поддержки пользователей на едином портале </w:t>
      </w:r>
      <w:proofErr w:type="spellStart"/>
      <w:r w:rsidRPr="000B75D2">
        <w:rPr>
          <w:sz w:val="28"/>
          <w:szCs w:val="28"/>
        </w:rPr>
        <w:t>госуслуг</w:t>
      </w:r>
      <w:proofErr w:type="spellEnd"/>
      <w:r w:rsidRPr="000B75D2">
        <w:rPr>
          <w:sz w:val="28"/>
          <w:szCs w:val="28"/>
        </w:rPr>
        <w:t xml:space="preserve"> (www.gosuslugi.ru).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Установленный страхователю размер страхового тарифа действует в течение календарного года (с 1 января по 31 декабря включительно).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видов расходов, направлений расходов классификации расходов бюджетов по государственным внебюджетным фондам Российской Федерации на 2020 год и плановый период 2021 и 2022 годов"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Минфином России подготовлена таблица соответствия форм обоснований бюджетных ассигнований кодам видов расходов, направлений расходов по ГВБФ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Таблица содержит, в частности, наименование форм обоснований бюджетных ассигнований с указанием кода формы по ОКУД и соответствующие им КВР и направления расходов.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&lt;информация&gt; ФНС России "Граждане могут заявить о разрушении объекта капстроительства для прекращения его налогообложения"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ФНС России напомнила о возможности прекратить начисление налога на объект недвижимости на основании заявления гражданина о разрушении объекта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что с 29 июня 2019 года физлица - владельцы налогооблагаемых объектов недвижимости могут представлять в любую налоговую инспекцию заявление о гибели или уничтожении объекта капстроительства. Форма такого заявления утверждена приказом ФНС России от 24.05.2019 N ММВ-7-21/263@.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К заявлению налогоплательщик может приложить подтверждающие документы (справку местной администрации, документ органов </w:t>
      </w:r>
      <w:proofErr w:type="spellStart"/>
      <w:r w:rsidRPr="000B75D2">
        <w:rPr>
          <w:sz w:val="28"/>
          <w:szCs w:val="28"/>
        </w:rPr>
        <w:t>госпожнадзора</w:t>
      </w:r>
      <w:proofErr w:type="spellEnd"/>
      <w:r w:rsidRPr="000B75D2">
        <w:rPr>
          <w:sz w:val="28"/>
          <w:szCs w:val="28"/>
        </w:rPr>
        <w:t>, акт обследования, уведомление о завершении сноса объекта и т.п.). Если документы не представлены, налоговая инспекция сама запрашивает сведения у соответствующих органов (организаций).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Проект Федерального закона "О внесении изменений в части первую и вторую Налогового кодекса Российской Федерации (о создании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товаров)"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НК РФ предлагается закрепить положения, связанные с функционированием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Предложенный Минфином России проект направлен на реализацию обязательств Российской Федерации по созданию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товаров, предусмотренных проектом Соглашения, одобренным распоряжением Коллегии ЕЭК от 17 апреля 2018 г. N 74.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Согласно проекту </w:t>
      </w: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товаров представляет собой организацию их учета и операций, связанных с их оборотом. Перечень товаров, подлежащих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>, будет утверждаться Правительством РФ.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отношении таких товаров устанавливается порядок формирования регистрационного номера партии товара (при реализации соответствующий номер необходимо будет включать в счет-фактуру или документ об отгрузке (лицами, не являющимися плательщиками НДС)).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Налогоплательщики будут обязаны в установленные сроки уведомлять налоговые органы о перемещении таких товаров и об их остатках через оператора электронного документооборота.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spellStart"/>
      <w:r w:rsidRPr="000B75D2">
        <w:rPr>
          <w:sz w:val="28"/>
          <w:szCs w:val="28"/>
        </w:rPr>
        <w:lastRenderedPageBreak/>
        <w:t>Прослеживаемость</w:t>
      </w:r>
      <w:proofErr w:type="spellEnd"/>
      <w:r w:rsidRPr="000B75D2">
        <w:rPr>
          <w:sz w:val="28"/>
          <w:szCs w:val="28"/>
        </w:rPr>
        <w:t xml:space="preserve"> прекращается при исключении товаров из перечня, утвержденного Правительством РФ, а также в установленных случаях (например, реализация товара конечному потребителю для личных целей, не связанных с предпринимательской деятельностью, фактический вывоз товара с территории РФ, утилизация, утрата).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случае возврата товара в торговый оборот </w:t>
      </w: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товара будет возобновлена.</w:t>
      </w:r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ГРАЖДАНСКОЕ ПРАВО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Постановление Конституционного Суда РФ от 25.06.2019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25-П "По делу о проверке конституционности пункта 3 статьи 1085 и пункта 1 статьи 1087 Гражданского кодекса Российской Федерации в связи с жалобой гражданина Э.М. Ворона"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Поскольку правоотношения по возмещению вреда, причиненного здоровью, являются по своему характеру длящимися, то в случаях увеличения расходов на посторонний уход потерпевший вправе рассчитывать на справедливое изменение размера причитающегося ему возмещения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Конституционный Суд РФ признал пункт 3 статьи 1085 и пункт 1 статьи 1087 ГК РФ не противоречащими Конституции РФ, поскольку по своему конституционно-правовому смыслу в системе действующего правового регулирования они предполагают, что наличие судебного решения о взыскании в пользу несовершеннолетнего, не достигшего четырнадцати лет (малолетнего), 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возмещения, и гражданин не имеет права на получение соответствующей помощи и ухода бесплатно или за частичную плату либо при наличии такого права он был фактически лишен возможности получить такую помощь качественно и своевременно.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Конституционный Суд РФ, в частности, указал следующее.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Потребность лица, признанного инвалидом </w:t>
      </w:r>
      <w:r w:rsidRPr="001D371A">
        <w:rPr>
          <w:sz w:val="28"/>
          <w:szCs w:val="28"/>
          <w:lang w:val="en-US"/>
        </w:rPr>
        <w:t>I</w:t>
      </w:r>
      <w:r w:rsidRPr="001D371A">
        <w:rPr>
          <w:sz w:val="28"/>
          <w:szCs w:val="28"/>
        </w:rPr>
        <w:t xml:space="preserve"> группы с детства, у которого вследствие повреждения здоровья наступила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потребности, в постороннем уходе - как в его количественной, так и качественной составляющей - может меняться с течением времени в </w:t>
      </w:r>
      <w:r w:rsidRPr="001D371A">
        <w:rPr>
          <w:sz w:val="28"/>
          <w:szCs w:val="28"/>
        </w:rPr>
        <w:lastRenderedPageBreak/>
        <w:t>зависимости от степени повреждения здоровья, нуждаемости потерпевшего в таком уходе, иных обстоятельств или изменения этих обстоятельств.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К таким обстоятельствам относятся, в частности, увеличение объема осуществляемых мероприятий по постороннему уходу в связи с достижением несовершеннолетним потерпевшим совершеннолетнего возраста; принятие уполномоченной организацией решения о признании гражданина нуждающимся в социальном обслуживании с разработкой - исходя из потребности гражданина в социальных услугах - индивидуальной программы такого обслуживания и отказ в предоставлении социальных услуг в рамках такого обслуживания в случае, когда гражданин не имеет права на их бесплатное или иное льготное получение либо при наличии такого права фактически лишен возможности получить такую помощь качественно и своевременно; заключение возмездного гражданско-правового договора на оказание необходимых ему услуг по постороннему уходу и т.д.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В подобных ситуациях в случаях увеличения расходов на посторонний уход потерпевший вправе рассчитывать на справедливое изменение размера причитающегося ему возмещения. Поэтому решение вопроса о возмещении потерпевшему расходов на посторонний уход должно осуществляться в том числе с учетом такого характера этих отношений, когда в его пользу ранее было вынесено судебное решение о взыскании в возмещение вреда, причиненного здоровью, расходов на посторонний уход. В противном случае было бы поставлено под сомнение само конституционное предписание об обеспечении государством потерпевшему доступа к правосудию и компенсации причиненного ущерба.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В контексте конституционно-правового предназначения пункта 3 статьи 1085 и пункта 1 статьи 1087 ГК РФ статья 1090 ГК РФ, регламентирующая отдельные - специальные - случаи последующего изменения размера возмещения вреда, не может рассматриваться в качестве нормативно установленного исключения из общего правила об определении размера возмещения вреда в рамках </w:t>
      </w:r>
      <w:proofErr w:type="spellStart"/>
      <w:r w:rsidRPr="001D371A">
        <w:rPr>
          <w:sz w:val="28"/>
          <w:szCs w:val="28"/>
        </w:rPr>
        <w:t>деликтных</w:t>
      </w:r>
      <w:proofErr w:type="spellEnd"/>
      <w:r w:rsidRPr="001D371A">
        <w:rPr>
          <w:sz w:val="28"/>
          <w:szCs w:val="28"/>
        </w:rPr>
        <w:t xml:space="preserve"> обязательств в полном объеме и, таким образом, не препятствует взысканию потерпевшим необходимых расходов на услуги сиделки как способу постороннего ухода в случае, если ранее в его пользу вынесено судебное решение о взыскании бессрочно расходов на постоянный посторонний уход, в котором вопрос об оплате услуг сиделки не исследовался.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Соответственно, если с момента вынесения в пользу потерпевшего судебного решения о взыскании в возмещение вреда, причиненного здоровью, расходов на посторонний уход обстоятельства изменились - в рамках длящихся отношений по возмещению вреда, - эти, а также иные заслуживающие внимания факты, позволяющие достоверно установить необходимость таких расходов, их разумность и обоснованность, при рассмотрении вновь </w:t>
      </w:r>
      <w:r w:rsidRPr="001D371A">
        <w:rPr>
          <w:sz w:val="28"/>
          <w:szCs w:val="28"/>
        </w:rPr>
        <w:lastRenderedPageBreak/>
        <w:t>предъявленного требования о взыскании расходов на посторонний уход подлежат учету в полной мере.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Суд при рассмотрении в конкретном деле вопроса о взыскании в возмещение вреда, причиненного здоровью, расходов на посторонний уход, которые потерпевший произвел (должен будет произвести) на основании заключенного с частным лицом договора об оказании услуг, связанных с посторонним уходом (услуг сиделки), и размер которых увеличился по сравнению с ранее взысканными решением суда в его пользу расходами на постоянный посторонний уход, обязан, не ограничиваясь установлением одних лишь формальных условий применения нормы, исследовать по существу фактические обстоятельства данного дела, учитывая - исходя из необходимости обеспечения баланса интересов потерпевшего и </w:t>
      </w:r>
      <w:proofErr w:type="spellStart"/>
      <w:r w:rsidRPr="001D371A">
        <w:rPr>
          <w:sz w:val="28"/>
          <w:szCs w:val="28"/>
        </w:rPr>
        <w:t>причинителя</w:t>
      </w:r>
      <w:proofErr w:type="spellEnd"/>
      <w:r w:rsidRPr="001D371A">
        <w:rPr>
          <w:sz w:val="28"/>
          <w:szCs w:val="28"/>
        </w:rPr>
        <w:t xml:space="preserve"> вреда - реальную нуждаемость потерпевшего (в зависимости от причиненного вреда здоровью) в услугах сиделки и возможность качественного и своевременного предоставления ему в конкретном населенном пункте подобного рода социальных услуг в рамках законодательства о социальном обеспечении граждан, включая наличие у него права на их получение бесплатно или за частичную плату.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Следовательно, возможность предоставления потерпевшему социальных услуг, наличие права потерпевшего на их предоставление бесплатно или за частичную плату также относятся к обстоятельствам, которые подлежат оценке судом, рассматривающим вновь возникший спор, связанный со взысканием расходов на посторонний уход (услуги сиделки). Это предполагает и квалификацию судом как разумных и добросовестных (пункт 5 статьи 10 ГК РФ) действий потерпевшего по заключению гражданско-правового договора об оказании услуг, связанных с посторонним уходом (услуг сиделки), который с целью минимизировать расходы до заключения такого договора обращался в уполномоченные организации с заявлением о предоставлении социального обслуживания и получил отказ в оказании социальных услуг в форме социального обслуживания на дому бесплатно или за частичную плату либо был фактически лишен возможности получить такую помощь качественно и своевременно. Суды общей юрисдикции при рассмотрении требований подобного рода должны учитывать в рамках дискреционных полномочий все фактические обстоятельства, связанные с возмещением расходов, которые потерпевший произвел или должен будет произвести в связи с причинением вреда здоровью.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Таким образом, пункт 3 статьи 1085 и пункт 1 статьи 1087 ГК РФ предполагают, что наличие судебного решения о взыскании в пользу несовершеннолетнего, не достигшего четырнадцати лет (малолетнего), 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</w:t>
      </w:r>
      <w:r w:rsidRPr="001D371A">
        <w:rPr>
          <w:sz w:val="28"/>
          <w:szCs w:val="28"/>
        </w:rPr>
        <w:lastRenderedPageBreak/>
        <w:t>причиненного ему вреда взыскать в последующем необходимые расходы, в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Иное означало бы несоразмерное и не имеющее правовых оснований ограничение права потерпевшего на возмещение вреда, причиненного увечьем или иным повреждением здоровья, в полном объеме и не обеспечивало бы ему - в условиях, когда невозможно восстановление нарушенных функций органов и систем организма вследствие характера и степени повреждения, - улучшение условий его жизнедеятельности, а следовательно, вело бы к нарушению прав потерпевшего, здоровью которого противоправными действиями иных лиц был причинен вред.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Приказ </w:t>
      </w:r>
      <w:proofErr w:type="spellStart"/>
      <w:r w:rsidRPr="001D371A">
        <w:rPr>
          <w:sz w:val="28"/>
          <w:szCs w:val="28"/>
        </w:rPr>
        <w:t>Минпромторга</w:t>
      </w:r>
      <w:proofErr w:type="spellEnd"/>
      <w:r w:rsidRPr="001D371A">
        <w:rPr>
          <w:sz w:val="28"/>
          <w:szCs w:val="28"/>
        </w:rPr>
        <w:t xml:space="preserve"> России от 28.03.2019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997 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нужд" Зарегистрировано в Минюсте России 19.06.2019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54970.</w:t>
      </w:r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881"/>
    <w:rsid w:val="00000C4A"/>
    <w:rsid w:val="000064D6"/>
    <w:rsid w:val="00035CCE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3"/>
    <w:rsid w:val="002735F9"/>
    <w:rsid w:val="00280F3A"/>
    <w:rsid w:val="002A00DB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44CB9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140C6"/>
    <w:rsid w:val="009223FF"/>
    <w:rsid w:val="00922937"/>
    <w:rsid w:val="009268E7"/>
    <w:rsid w:val="00955837"/>
    <w:rsid w:val="00964246"/>
    <w:rsid w:val="00994F6B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09EA"/>
    <w:rsid w:val="00B44B01"/>
    <w:rsid w:val="00B4641F"/>
    <w:rsid w:val="00B6694D"/>
    <w:rsid w:val="00B7119E"/>
    <w:rsid w:val="00BA7F84"/>
    <w:rsid w:val="00BC2E03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66A64"/>
    <w:rsid w:val="00C81F03"/>
    <w:rsid w:val="00C92CB3"/>
    <w:rsid w:val="00CA0382"/>
    <w:rsid w:val="00CA1030"/>
    <w:rsid w:val="00CC0030"/>
    <w:rsid w:val="00CC58B9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7D667E-60EB-46F1-893C-FE9CDE7ABD6E}"/>
</file>

<file path=customXml/itemProps2.xml><?xml version="1.0" encoding="utf-8"?>
<ds:datastoreItem xmlns:ds="http://schemas.openxmlformats.org/officeDocument/2006/customXml" ds:itemID="{1D4E7C61-CF4F-480B-92CE-1D9710D69C5E}"/>
</file>

<file path=customXml/itemProps3.xml><?xml version="1.0" encoding="utf-8"?>
<ds:datastoreItem xmlns:ds="http://schemas.openxmlformats.org/officeDocument/2006/customXml" ds:itemID="{D1522CC3-32AE-46C5-A75D-FF62B1E1E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42499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5</cp:revision>
  <cp:lastPrinted>2017-05-04T09:52:00Z</cp:lastPrinted>
  <dcterms:created xsi:type="dcterms:W3CDTF">2019-07-22T04:54:00Z</dcterms:created>
  <dcterms:modified xsi:type="dcterms:W3CDTF">2019-10-25T04:10:00Z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