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BC2C6A" w:rsidRP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  <w:r w:rsidRPr="00BC2C6A">
        <w:rPr>
          <w:b/>
          <w:i/>
          <w:sz w:val="52"/>
          <w:szCs w:val="52"/>
          <w:lang w:val="ru-RU"/>
        </w:rPr>
        <w:t xml:space="preserve">Проект </w:t>
      </w:r>
    </w:p>
    <w:p w:rsidR="00BC2C6A" w:rsidRP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  <w:r w:rsidRPr="00BC2C6A">
        <w:rPr>
          <w:b/>
          <w:i/>
          <w:sz w:val="52"/>
          <w:szCs w:val="52"/>
          <w:lang w:val="ru-RU"/>
        </w:rPr>
        <w:t xml:space="preserve">бюджетного прогноза </w:t>
      </w:r>
    </w:p>
    <w:p w:rsidR="00BC2C6A" w:rsidRP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  <w:r w:rsidRPr="00BC2C6A">
        <w:rPr>
          <w:b/>
          <w:i/>
          <w:sz w:val="52"/>
          <w:szCs w:val="52"/>
          <w:lang w:val="ru-RU"/>
        </w:rPr>
        <w:t xml:space="preserve">города Красноярска </w:t>
      </w:r>
    </w:p>
    <w:p w:rsidR="00BC2C6A" w:rsidRP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  <w:r w:rsidRPr="00BC2C6A">
        <w:rPr>
          <w:b/>
          <w:i/>
          <w:sz w:val="52"/>
          <w:szCs w:val="52"/>
          <w:lang w:val="ru-RU"/>
        </w:rPr>
        <w:t>на 2017-2023 годы</w:t>
      </w:r>
    </w:p>
    <w:p w:rsidR="00BC2C6A" w:rsidRPr="00BC2C6A" w:rsidRDefault="00BC2C6A" w:rsidP="00BC2C6A">
      <w:pPr>
        <w:jc w:val="center"/>
        <w:rPr>
          <w:b/>
          <w:i/>
          <w:sz w:val="52"/>
          <w:szCs w:val="52"/>
          <w:lang w:val="ru-RU"/>
        </w:rPr>
      </w:pPr>
    </w:p>
    <w:p w:rsidR="00F22E19" w:rsidRDefault="00F22E19">
      <w:pPr>
        <w:rPr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bookmarkStart w:id="0" w:name="_Toc177304533"/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BC2C6A" w:rsidRDefault="00BC2C6A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F22E19">
        <w:rPr>
          <w:rFonts w:eastAsia="Calibri"/>
          <w:b/>
          <w:sz w:val="28"/>
          <w:szCs w:val="28"/>
          <w:lang w:val="ru-RU"/>
        </w:rPr>
        <w:lastRenderedPageBreak/>
        <w:t>Проект бюджетного прогноза города Красноярска</w:t>
      </w:r>
    </w:p>
    <w:p w:rsidR="00F22E19" w:rsidRPr="00F22E19" w:rsidRDefault="00F22E19" w:rsidP="00F22E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F22E19">
        <w:rPr>
          <w:rFonts w:eastAsia="Calibri"/>
          <w:b/>
          <w:sz w:val="28"/>
          <w:szCs w:val="28"/>
          <w:lang w:val="ru-RU"/>
        </w:rPr>
        <w:t>на 2017 – 2023 годы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F22E19">
        <w:rPr>
          <w:rFonts w:eastAsia="Calibri"/>
          <w:sz w:val="28"/>
          <w:szCs w:val="28"/>
          <w:lang w:val="ru-RU"/>
        </w:rPr>
        <w:t xml:space="preserve">Бюджетный прогноз города Красноярска на долгосрочный период </w:t>
      </w:r>
      <w:r w:rsidRPr="00F22E19">
        <w:rPr>
          <w:rFonts w:eastAsia="Calibri"/>
          <w:sz w:val="28"/>
          <w:szCs w:val="28"/>
          <w:lang w:val="ru-RU"/>
        </w:rPr>
        <w:br/>
        <w:t xml:space="preserve">2017 – 2023 годы (далее – бюджетный прогноз) подготовлен в соответствии </w:t>
      </w:r>
      <w:r w:rsidRPr="00F22E19">
        <w:rPr>
          <w:rFonts w:eastAsia="Calibri"/>
          <w:sz w:val="28"/>
          <w:szCs w:val="28"/>
          <w:lang w:val="ru-RU"/>
        </w:rPr>
        <w:br/>
        <w:t>со статьей 170.1 Бюджетного кодекса Российской Федерации, статьей 14 решения Красноярского городского Совета депутатов от 11.12.2007 № 15-359 «О бюджетном процессе в городе Красноярске», постановлением администрации города от 24.09.2015 № 600 «Об утверждении Порядка разработки и утверждения бюджетного прогноза города Красноярска на долгосрочный период», на основе</w:t>
      </w:r>
      <w:proofErr w:type="gramEnd"/>
      <w:r w:rsidRPr="00F22E19">
        <w:rPr>
          <w:rFonts w:eastAsia="Calibri"/>
          <w:sz w:val="28"/>
          <w:szCs w:val="28"/>
          <w:lang w:val="ru-RU"/>
        </w:rPr>
        <w:t xml:space="preserve"> прогноза социально-экономического развития города Красноярска на долгосрочный период 2017 – 2023 годов. 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Разработка бюджетного прогноза в долгосрочном периоде позволит: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- сформировать ориентиры бюджетной политики, направленной на обеспечение сбалансированности и устойчивости бюджета города;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 xml:space="preserve">- оценить объем и структуру доходов и расходов бюджета города, муниципального долга, обеспечить предсказуемость их планирования с учетом целей, параметров и условий социально-экономического развития города.  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 xml:space="preserve"> 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6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bookmarkStart w:id="1" w:name="_Toc205786899"/>
      <w:bookmarkEnd w:id="0"/>
      <w:bookmarkEnd w:id="1"/>
      <w:r w:rsidRPr="00F22E19">
        <w:rPr>
          <w:rFonts w:eastAsia="Calibri"/>
          <w:b/>
          <w:sz w:val="28"/>
          <w:szCs w:val="28"/>
          <w:lang w:val="ru-RU"/>
        </w:rPr>
        <w:t>1. Основные подходы к формированию бюджетной политики города на долгосрочный период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 xml:space="preserve">С учетом итогов реализации бюджетной политики города Красноярска в 2015 – 2016 годах в долгосрочном периоде бюджетная политика будет направлена </w:t>
      </w:r>
      <w:proofErr w:type="gramStart"/>
      <w:r w:rsidRPr="00F22E19">
        <w:rPr>
          <w:rFonts w:eastAsia="Calibri"/>
          <w:sz w:val="28"/>
          <w:szCs w:val="28"/>
          <w:lang w:val="ru-RU"/>
        </w:rPr>
        <w:t>на</w:t>
      </w:r>
      <w:proofErr w:type="gramEnd"/>
      <w:r w:rsidRPr="00F22E19">
        <w:rPr>
          <w:rFonts w:eastAsia="Calibri"/>
          <w:sz w:val="28"/>
          <w:szCs w:val="28"/>
          <w:lang w:val="ru-RU"/>
        </w:rPr>
        <w:t>: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F22E19">
        <w:rPr>
          <w:rFonts w:eastAsia="Calibri"/>
          <w:sz w:val="28"/>
          <w:szCs w:val="28"/>
          <w:lang w:val="ru-RU"/>
        </w:rPr>
        <w:t>1) повышение эффективности бюджетных расходов, в том числе посредством развития программно-целевых методов управления, повышения эффективности бюджетной сети и оказания муниципальных услуг, включая привлечение негосударственного сектора к процессу оказания муниципальных услуг (выполнения работ) в социальной и иных сферах деятельности с использованием механизма муниципально-частного партнерства и сертификатов на оказание услуг;</w:t>
      </w:r>
      <w:proofErr w:type="gramEnd"/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2) взаимодействие с федеральными и краевыми органами власти по увеличению объема средств из вышестоящих бюджетов путем участия в конкурсных отборах в рамках государственных программ;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3) продолжение реализации Указов Президента Российской Федерации 2012 года (в части повышения заработной платы отдельным категориям работников бюджетной сферы, переселения граждан из аварийного жилищного фонда);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4) обеспечение учащихся местами в общеобразовательных учреждениях путем строительства новых школ в наиболее нуждающихся </w:t>
      </w:r>
      <w:r w:rsidRPr="00F22E19">
        <w:rPr>
          <w:sz w:val="28"/>
          <w:szCs w:val="28"/>
          <w:lang w:val="ru-RU"/>
        </w:rPr>
        <w:lastRenderedPageBreak/>
        <w:t>микрорайонах города и проведения комплексного капитального ремонта зданий школ;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5) подготовку к </w:t>
      </w:r>
      <w:r w:rsidRPr="007B0935">
        <w:rPr>
          <w:sz w:val="28"/>
          <w:szCs w:val="28"/>
        </w:rPr>
        <w:t>XXIX</w:t>
      </w:r>
      <w:r w:rsidRPr="00F22E19">
        <w:rPr>
          <w:sz w:val="28"/>
          <w:szCs w:val="28"/>
          <w:lang w:val="ru-RU"/>
        </w:rPr>
        <w:t xml:space="preserve"> Всемирной зимней Универсиаде 2019 года с учетом финансирования подготовительных мероприятий за счет федерального, краевого, местного бюджетов и внебюджетных источников;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6) повышение открытости и прозрачности бюджета </w:t>
      </w:r>
      <w:proofErr w:type="gramStart"/>
      <w:r w:rsidRPr="00F22E19">
        <w:rPr>
          <w:sz w:val="28"/>
          <w:szCs w:val="28"/>
          <w:lang w:val="ru-RU"/>
        </w:rPr>
        <w:t>города</w:t>
      </w:r>
      <w:proofErr w:type="gramEnd"/>
      <w:r w:rsidRPr="00F22E19">
        <w:rPr>
          <w:sz w:val="28"/>
          <w:szCs w:val="28"/>
          <w:lang w:val="ru-RU"/>
        </w:rPr>
        <w:t xml:space="preserve"> в рамках исполнения требований действующего законодательства по обеспечению прозрачности и публичности бюджетного процесса, росту уровня информированности и грамотности жителей в вопросах формирования, утверждения и исполнения бюджета, созданию условий для обратной связи горожан и органов местного самоуправления;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7) эффективное управление муниципальным долгом посредством  сохранения объема и структуры муниципального долга в пределах ограничений, установленных законодательством, соблюдения ограничений по расходам на обслуживание муниципального долга, качественного обслуживания муниципального долга и минимизации расходов на его обслуживание.</w:t>
      </w:r>
    </w:p>
    <w:p w:rsidR="00F22E19" w:rsidRPr="00F22E19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F22E19" w:rsidRPr="00F22E19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F22E19">
        <w:rPr>
          <w:rFonts w:eastAsia="Calibri"/>
          <w:b/>
          <w:sz w:val="28"/>
          <w:szCs w:val="28"/>
          <w:lang w:val="ru-RU"/>
        </w:rPr>
        <w:t>2. Прогноз основных характеристик бюджета города на долгосрочный период</w:t>
      </w:r>
    </w:p>
    <w:p w:rsidR="00F22E19" w:rsidRPr="00F22E19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При прогнозировании объема доходов и расходов бюджета города на период 2017 – 2023 годов учтены следующие подходы.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i/>
          <w:sz w:val="4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F22E19">
        <w:rPr>
          <w:b/>
          <w:i/>
          <w:sz w:val="28"/>
          <w:szCs w:val="28"/>
          <w:lang w:val="ru-RU"/>
        </w:rPr>
        <w:t>По доходам:</w:t>
      </w:r>
    </w:p>
    <w:p w:rsidR="00F22E19" w:rsidRPr="00F22E19" w:rsidRDefault="00F22E19" w:rsidP="00F22E19">
      <w:pPr>
        <w:ind w:firstLine="708"/>
        <w:jc w:val="both"/>
        <w:rPr>
          <w:b/>
          <w:i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1) п</w:t>
      </w:r>
      <w:r w:rsidRPr="00F22E19">
        <w:rPr>
          <w:rFonts w:eastAsia="Calibri"/>
          <w:sz w:val="28"/>
          <w:szCs w:val="28"/>
          <w:lang w:val="ru-RU"/>
        </w:rPr>
        <w:t xml:space="preserve">рогноз собственных доходов – в соответствии с действующим налоговым и бюджетным законодательством, правовыми актами города: 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- по налоговым доходам – на основе ожидаемых итогов социально-экономического развития города за 2016 год и показателей базового варианта прогноза социально-экономического развития города на 2017 – 2023 годы;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- по неналоговым доходам – на основе данных, предоставленных главными администраторами  доходов;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2) прогноз безвозмездных поступлений (за исключением прочих безвозмездных поступлений):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- на 2017 – 2019 годы – в объеме, предусмотренном городу Красноярску в проекте краевого бюджета на 2017 год и плановый период 2018 – 2019 годов;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- на 2020 – 2023 годы – на уровне 2019 года, в том числе, в части: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 xml:space="preserve">субсидий – в объеме ежегодно предоставляемых традиционных направлений, таких как </w:t>
      </w:r>
      <w:r w:rsidRPr="00F22E19">
        <w:rPr>
          <w:sz w:val="30"/>
          <w:szCs w:val="30"/>
          <w:lang w:val="ru-RU"/>
        </w:rPr>
        <w:t xml:space="preserve">организация отдыха детей и их оздоровление, поддержка деятельности муниципальных молодежных центров, </w:t>
      </w:r>
      <w:r w:rsidRPr="00F22E19">
        <w:rPr>
          <w:sz w:val="30"/>
          <w:szCs w:val="30"/>
          <w:lang w:val="ru-RU"/>
        </w:rPr>
        <w:lastRenderedPageBreak/>
        <w:t>проведение акарицидной обработки мест массового отдыха детей, содержание детей, обучающихся в физико-математических классах;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sz w:val="10"/>
          <w:szCs w:val="30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субвенций – в объеме переданных государственных полномочий при условии их сохранения в 2020 – 2023 годах;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3) прогноз прочих безвозмездных поступлений на 2017 – 2023 годы – в объеме поступлений от возмещения родителями платы за путевки в детские оздоровительные лагеря в размере, установленном распоряжением администрации города от 14.03.2013 № 9 «Об организации отдыха, оздоровления, занятости детей в городе Красноярске».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i/>
          <w:sz w:val="8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F22E19">
        <w:rPr>
          <w:b/>
          <w:i/>
          <w:sz w:val="28"/>
          <w:szCs w:val="28"/>
          <w:lang w:val="ru-RU"/>
        </w:rPr>
        <w:t>По расходам:</w:t>
      </w:r>
    </w:p>
    <w:p w:rsidR="00F22E19" w:rsidRPr="00F22E19" w:rsidRDefault="00F22E19" w:rsidP="00F22E19">
      <w:pPr>
        <w:ind w:firstLine="708"/>
        <w:jc w:val="both"/>
        <w:rPr>
          <w:b/>
          <w:i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1) приоритизация расходов, </w:t>
      </w:r>
      <w:proofErr w:type="gramStart"/>
      <w:r w:rsidRPr="00F22E19">
        <w:rPr>
          <w:sz w:val="28"/>
          <w:szCs w:val="28"/>
          <w:lang w:val="ru-RU"/>
        </w:rPr>
        <w:t>предполагающая</w:t>
      </w:r>
      <w:proofErr w:type="gramEnd"/>
      <w:r w:rsidRPr="00F22E19">
        <w:rPr>
          <w:sz w:val="28"/>
          <w:szCs w:val="28"/>
          <w:lang w:val="ru-RU"/>
        </w:rPr>
        <w:t xml:space="preserve"> исполнение в первоочередном порядке действующих расходных обязательств, выделение ассигнований на реализацию новых проектов и отдельных направлений расходов за счет выявления внутренних резервов, повышения эффективности бюджетной сети</w:t>
      </w:r>
      <w:r w:rsidRPr="00F22E19">
        <w:rPr>
          <w:lang w:val="ru-RU"/>
        </w:rPr>
        <w:t xml:space="preserve"> </w:t>
      </w:r>
      <w:r w:rsidRPr="00F22E19">
        <w:rPr>
          <w:sz w:val="28"/>
          <w:szCs w:val="28"/>
          <w:lang w:val="ru-RU"/>
        </w:rPr>
        <w:t>и оказания муниципальных услуг;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2) безусловное выполнение установленных публичных нормативных обязательств и продолжение реализации мероприятий, предусмотренных указами Президента РФ;</w:t>
      </w: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3) сохранение программного принципа формирования расходов; 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4) определение базовых расходов: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- на 2017 – 2018 годы – на основе утвержденных решением Красноярского городского Совета депутатов «О бюджете города на 2016 год и плановый период 2017 – 2018 годов»;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- на 2019 – 2023 годы – на основе объема ассигнований на 2018 год за исключением мероприятий, заканчивающих свое действие в 2018 году, а также расходов по реализации решений, срок действия которых ограничен 2018 годом; 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5) уточнение базовых расходов на исполнение инициативных полномочий по принципу адресности и нуждаемости, повышение эффективности мер социальной поддержки населения;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6) сохранение на уровне 2016 года объемов расходов на оплату труда муниципальных служащих и работников муниципальных учреждений;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7) минимизация расходов на обслуживание муниципального долга;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8) обеспечение открытости и прозрачности бюджетного процесса, публичности и доступности сведений о реализации бюджетной политики за счет регулярного опубликования информации для граждан и размещения ее в сети Интернет.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4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b/>
          <w:i/>
          <w:sz w:val="28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b/>
          <w:i/>
          <w:sz w:val="28"/>
          <w:szCs w:val="28"/>
          <w:lang w:val="ru-RU"/>
        </w:rPr>
      </w:pPr>
      <w:r w:rsidRPr="00F22E19">
        <w:rPr>
          <w:b/>
          <w:i/>
          <w:sz w:val="28"/>
          <w:szCs w:val="28"/>
          <w:lang w:val="ru-RU"/>
        </w:rPr>
        <w:lastRenderedPageBreak/>
        <w:t>По дефициту:</w:t>
      </w:r>
    </w:p>
    <w:p w:rsidR="00F22E19" w:rsidRPr="00F22E19" w:rsidRDefault="00F22E19" w:rsidP="00F22E19">
      <w:pPr>
        <w:ind w:firstLine="708"/>
        <w:jc w:val="both"/>
        <w:rPr>
          <w:b/>
          <w:i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2017 год – бюджет с дефицитом в сумме 500,0 млн. рублей;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BC2C6A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BC2C6A">
        <w:rPr>
          <w:sz w:val="28"/>
          <w:szCs w:val="28"/>
          <w:lang w:val="ru-RU"/>
        </w:rPr>
        <w:t xml:space="preserve">2018 – 2023 годы – бюджет бездефицитный. </w:t>
      </w:r>
    </w:p>
    <w:p w:rsidR="00F22E19" w:rsidRPr="00BC2C6A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Данный подход позволит стабилизировать объем муниципального долга в долгосрочном периоде, уменьшить удельный вес долговых обязательств в собственных доходах бюджета города (при сохранении объема муниципального долга на уровне 2017 года).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Прогноз основных характеристик бюджета города представлен в приложении 1 к бюджетному прогнозу.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22E19" w:rsidRPr="00F22E19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F22E19">
        <w:rPr>
          <w:rFonts w:eastAsia="Calibri"/>
          <w:b/>
          <w:sz w:val="28"/>
          <w:szCs w:val="28"/>
          <w:lang w:val="ru-RU"/>
        </w:rPr>
        <w:t>3. Показатели финансового обеспечения муниципальных программ, прогноз расходов на осуществление непрограммных направлений деятельности</w:t>
      </w:r>
    </w:p>
    <w:p w:rsidR="00F22E19" w:rsidRPr="00F22E19" w:rsidRDefault="00F22E19" w:rsidP="00F22E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Прогноз расходов на реализацию муниципальных программ города Красноярска определен на период: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>2017 – 2019 годов – в объеме ассигнований, предусмотренных в прогнозе бюджета города на финансовое обеспечение реализации мероприятий муниципальных программ на 2017 год и плановый период    2018 – 2019 годов;</w:t>
      </w: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2020 – 2023 годов – на уровне </w:t>
      </w:r>
      <w:proofErr w:type="gramStart"/>
      <w:r w:rsidRPr="00F22E19">
        <w:rPr>
          <w:sz w:val="28"/>
          <w:szCs w:val="28"/>
          <w:lang w:val="ru-RU"/>
        </w:rPr>
        <w:t>объема финансового обеспечения реализации мероприятий муниципальных программ</w:t>
      </w:r>
      <w:proofErr w:type="gramEnd"/>
      <w:r w:rsidRPr="00F22E19">
        <w:rPr>
          <w:sz w:val="28"/>
          <w:szCs w:val="28"/>
          <w:lang w:val="ru-RU"/>
        </w:rPr>
        <w:t xml:space="preserve"> в 2019 году, с учетом увеличения расходов в рамках муниципальных программ на прирост собственных доходов бюджета города в 2020 – 2023 годах к уровню 2019 года.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ind w:firstLine="708"/>
        <w:jc w:val="both"/>
        <w:rPr>
          <w:sz w:val="28"/>
          <w:szCs w:val="28"/>
          <w:lang w:val="ru-RU"/>
        </w:rPr>
      </w:pPr>
      <w:r w:rsidRPr="00F22E19">
        <w:rPr>
          <w:sz w:val="28"/>
          <w:szCs w:val="28"/>
          <w:lang w:val="ru-RU"/>
        </w:rPr>
        <w:t xml:space="preserve">В результате доля расходов бюджета города, формируемых в рамках муниципальных программ, в 2017 – 2023 годах составит не менее 94%. </w:t>
      </w:r>
    </w:p>
    <w:p w:rsidR="00F22E19" w:rsidRPr="00F22E19" w:rsidRDefault="00F22E19" w:rsidP="00F22E19">
      <w:pPr>
        <w:ind w:firstLine="708"/>
        <w:jc w:val="both"/>
        <w:rPr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Прогноз непрограммных расходов бюджета города на период           2018 – 2023 годов рассчитан с учетом условно утверждаемых расходов.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 xml:space="preserve">При формировании проекта бюджета на следующий финансовый год и плановый </w:t>
      </w:r>
      <w:proofErr w:type="gramStart"/>
      <w:r w:rsidRPr="00F22E19">
        <w:rPr>
          <w:rFonts w:eastAsia="Calibri"/>
          <w:sz w:val="28"/>
          <w:szCs w:val="28"/>
          <w:lang w:val="ru-RU"/>
        </w:rPr>
        <w:t>период</w:t>
      </w:r>
      <w:proofErr w:type="gramEnd"/>
      <w:r w:rsidRPr="00F22E19">
        <w:rPr>
          <w:rFonts w:eastAsia="Calibri"/>
          <w:sz w:val="28"/>
          <w:szCs w:val="28"/>
          <w:lang w:val="ru-RU"/>
        </w:rPr>
        <w:t xml:space="preserve"> условно утверждаемые расходы будут распределяться на реализацию проектов развития города, в том числе, в рамках муниципальных программ. В связи с этим доля программных расходов в бюджете города будет увеличиваться.</w:t>
      </w:r>
    </w:p>
    <w:p w:rsidR="00F22E19" w:rsidRPr="00F22E19" w:rsidRDefault="00F22E19" w:rsidP="00F22E19">
      <w:pPr>
        <w:autoSpaceDE w:val="0"/>
        <w:autoSpaceDN w:val="0"/>
        <w:adjustRightInd w:val="0"/>
        <w:ind w:firstLine="709"/>
        <w:jc w:val="both"/>
        <w:rPr>
          <w:rFonts w:eastAsia="Calibri"/>
          <w:sz w:val="10"/>
          <w:szCs w:val="28"/>
          <w:lang w:val="ru-RU"/>
        </w:rPr>
      </w:pPr>
    </w:p>
    <w:p w:rsidR="00F22E19" w:rsidRDefault="00F22E19" w:rsidP="00D718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22E19">
        <w:rPr>
          <w:rFonts w:eastAsia="Calibri"/>
          <w:sz w:val="28"/>
          <w:szCs w:val="28"/>
          <w:lang w:val="ru-RU"/>
        </w:rPr>
        <w:t>Показатели финансового обеспечения муниципальных программ, а также прогноз расходов на осуществление непрограммных направлений деятельности представлены в приложении 2 к бюджетному прогнозу.</w:t>
      </w:r>
    </w:p>
    <w:p w:rsidR="00F22E19" w:rsidRDefault="00F22E19" w:rsidP="00F22E1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22E19" w:rsidRDefault="00F22E19" w:rsidP="00F22E1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22E19" w:rsidRPr="00F22E19" w:rsidRDefault="00F22E19" w:rsidP="00F22E1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22E19" w:rsidRDefault="00F22E19" w:rsidP="00680BA7">
      <w:pPr>
        <w:autoSpaceDE w:val="0"/>
        <w:autoSpaceDN w:val="0"/>
        <w:adjustRightInd w:val="0"/>
        <w:outlineLvl w:val="0"/>
        <w:rPr>
          <w:rFonts w:eastAsiaTheme="minorHAnsi"/>
          <w:sz w:val="30"/>
          <w:szCs w:val="30"/>
          <w:lang w:val="ru-RU"/>
        </w:rPr>
        <w:sectPr w:rsidR="00F22E19" w:rsidSect="00781E2E">
          <w:headerReference w:type="default" r:id="rId9"/>
          <w:headerReference w:type="first" r:id="rId10"/>
          <w:pgSz w:w="11906" w:h="16838" w:code="9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5103" w:type="dxa"/>
        <w:tblInd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75076" w:rsidRPr="005306A8" w:rsidTr="002418A8">
        <w:trPr>
          <w:trHeight w:val="1484"/>
        </w:trPr>
        <w:tc>
          <w:tcPr>
            <w:tcW w:w="5103" w:type="dxa"/>
          </w:tcPr>
          <w:p w:rsidR="00375076" w:rsidRPr="00F22E19" w:rsidRDefault="00375076" w:rsidP="00680B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30"/>
                <w:szCs w:val="30"/>
                <w:lang w:val="ru-RU"/>
              </w:rPr>
            </w:pPr>
            <w:r w:rsidRPr="00F22E19">
              <w:rPr>
                <w:rFonts w:eastAsiaTheme="minorHAnsi"/>
                <w:sz w:val="30"/>
                <w:szCs w:val="30"/>
                <w:lang w:val="ru-RU"/>
              </w:rPr>
              <w:lastRenderedPageBreak/>
              <w:t>Приложение 1</w:t>
            </w:r>
          </w:p>
          <w:p w:rsidR="00375076" w:rsidRPr="00F22E19" w:rsidRDefault="00375076" w:rsidP="00680BA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val="ru-RU"/>
              </w:rPr>
            </w:pPr>
            <w:r w:rsidRPr="00F22E19">
              <w:rPr>
                <w:rFonts w:eastAsiaTheme="minorHAnsi"/>
                <w:sz w:val="30"/>
                <w:szCs w:val="30"/>
                <w:lang w:val="ru-RU"/>
              </w:rPr>
              <w:t xml:space="preserve">к </w:t>
            </w:r>
            <w:r w:rsidR="008250DD" w:rsidRPr="00F22E19">
              <w:rPr>
                <w:rFonts w:eastAsiaTheme="minorHAnsi"/>
                <w:sz w:val="30"/>
                <w:szCs w:val="30"/>
                <w:lang w:val="ru-RU"/>
              </w:rPr>
              <w:t xml:space="preserve">проекту </w:t>
            </w:r>
            <w:r w:rsidRPr="00F22E19">
              <w:rPr>
                <w:rFonts w:eastAsiaTheme="minorHAnsi"/>
                <w:sz w:val="30"/>
                <w:szCs w:val="30"/>
                <w:lang w:val="ru-RU"/>
              </w:rPr>
              <w:t>бюджетно</w:t>
            </w:r>
            <w:r w:rsidR="008250DD" w:rsidRPr="00F22E19">
              <w:rPr>
                <w:rFonts w:eastAsiaTheme="minorHAnsi"/>
                <w:sz w:val="30"/>
                <w:szCs w:val="30"/>
                <w:lang w:val="ru-RU"/>
              </w:rPr>
              <w:t>го</w:t>
            </w:r>
            <w:r w:rsidRPr="00F22E19">
              <w:rPr>
                <w:rFonts w:eastAsiaTheme="minorHAnsi"/>
                <w:sz w:val="30"/>
                <w:szCs w:val="30"/>
                <w:lang w:val="ru-RU"/>
              </w:rPr>
              <w:t xml:space="preserve"> прогноз</w:t>
            </w:r>
            <w:r w:rsidR="008250DD" w:rsidRPr="00F22E19">
              <w:rPr>
                <w:rFonts w:eastAsiaTheme="minorHAnsi"/>
                <w:sz w:val="30"/>
                <w:szCs w:val="30"/>
                <w:lang w:val="ru-RU"/>
              </w:rPr>
              <w:t>а</w:t>
            </w:r>
            <w:r w:rsidRPr="00F22E19">
              <w:rPr>
                <w:rFonts w:eastAsiaTheme="minorHAnsi"/>
                <w:sz w:val="30"/>
                <w:szCs w:val="30"/>
                <w:lang w:val="ru-RU"/>
              </w:rPr>
              <w:t xml:space="preserve"> города Красноярска на 2017 – 2023 </w:t>
            </w:r>
            <w:r w:rsidR="008250DD" w:rsidRPr="00F22E19">
              <w:rPr>
                <w:rFonts w:eastAsiaTheme="minorHAnsi"/>
                <w:sz w:val="30"/>
                <w:szCs w:val="30"/>
                <w:lang w:val="ru-RU"/>
              </w:rPr>
              <w:t>г</w:t>
            </w:r>
            <w:r w:rsidRPr="00F22E19">
              <w:rPr>
                <w:rFonts w:eastAsiaTheme="minorHAnsi"/>
                <w:sz w:val="30"/>
                <w:szCs w:val="30"/>
                <w:lang w:val="ru-RU"/>
              </w:rPr>
              <w:t xml:space="preserve">оды                                  </w:t>
            </w:r>
          </w:p>
          <w:p w:rsidR="00375076" w:rsidRPr="00F22E19" w:rsidRDefault="00375076" w:rsidP="00577F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/>
                <w:sz w:val="30"/>
                <w:szCs w:val="30"/>
                <w:lang w:val="ru-RU"/>
              </w:rPr>
            </w:pPr>
          </w:p>
        </w:tc>
      </w:tr>
    </w:tbl>
    <w:p w:rsidR="005F2E28" w:rsidRPr="005B6507" w:rsidRDefault="005F2E28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F41CC0" w:rsidRPr="005B6507" w:rsidRDefault="00F41CC0" w:rsidP="00F41C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r w:rsidRPr="005B6507">
        <w:rPr>
          <w:rFonts w:eastAsiaTheme="minorHAnsi"/>
          <w:b/>
          <w:sz w:val="30"/>
          <w:szCs w:val="30"/>
          <w:lang w:val="ru-RU"/>
        </w:rPr>
        <w:t xml:space="preserve">Прогноз </w:t>
      </w:r>
    </w:p>
    <w:p w:rsidR="00F41CC0" w:rsidRPr="005B6507" w:rsidRDefault="00F41CC0" w:rsidP="00F41C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r w:rsidRPr="005B6507">
        <w:rPr>
          <w:rFonts w:eastAsiaTheme="minorHAnsi"/>
          <w:b/>
          <w:sz w:val="30"/>
          <w:szCs w:val="30"/>
          <w:lang w:val="ru-RU"/>
        </w:rPr>
        <w:t xml:space="preserve">основных характеристик бюджета города </w:t>
      </w:r>
    </w:p>
    <w:p w:rsidR="00CD1DAE" w:rsidRPr="005B6507" w:rsidRDefault="00CD1DAE" w:rsidP="00F41CC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F41CC0" w:rsidRPr="00DE2BD6" w:rsidRDefault="00680BA7" w:rsidP="00F41C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lang w:val="ru-RU"/>
        </w:rPr>
      </w:pPr>
      <w:r>
        <w:rPr>
          <w:rFonts w:eastAsiaTheme="minorHAnsi"/>
          <w:sz w:val="30"/>
          <w:szCs w:val="30"/>
          <w:lang w:val="ru-RU"/>
        </w:rPr>
        <w:t xml:space="preserve">                 </w:t>
      </w:r>
      <w:r w:rsidRPr="00DE2BD6">
        <w:rPr>
          <w:rFonts w:eastAsiaTheme="minorHAnsi"/>
          <w:sz w:val="20"/>
          <w:lang w:val="ru-RU"/>
        </w:rPr>
        <w:t>в тыс. руб.</w:t>
      </w:r>
      <w:r w:rsidR="00DE2BD6">
        <w:rPr>
          <w:rFonts w:eastAsiaTheme="minorHAnsi"/>
          <w:sz w:val="30"/>
          <w:szCs w:val="30"/>
          <w:lang w:val="ru-RU"/>
        </w:rPr>
        <w:t xml:space="preserve">       </w:t>
      </w:r>
      <w:r>
        <w:rPr>
          <w:rFonts w:eastAsiaTheme="minorHAnsi"/>
          <w:sz w:val="30"/>
          <w:szCs w:val="30"/>
          <w:lang w:val="ru-RU"/>
        </w:rPr>
        <w:t xml:space="preserve">                                                    </w:t>
      </w:r>
      <w:r w:rsidR="00DE2BD6">
        <w:rPr>
          <w:rFonts w:eastAsiaTheme="minorHAnsi"/>
          <w:sz w:val="30"/>
          <w:szCs w:val="30"/>
          <w:lang w:val="ru-RU"/>
        </w:rPr>
        <w:t xml:space="preserve"> </w:t>
      </w:r>
    </w:p>
    <w:tbl>
      <w:tblPr>
        <w:tblStyle w:val="aa"/>
        <w:tblW w:w="15734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842"/>
        <w:gridCol w:w="1843"/>
        <w:gridCol w:w="1843"/>
        <w:gridCol w:w="1842"/>
      </w:tblGrid>
      <w:tr w:rsidR="00F41CC0" w:rsidRPr="003401E4" w:rsidTr="0036099E">
        <w:tc>
          <w:tcPr>
            <w:tcW w:w="2835" w:type="dxa"/>
            <w:vMerge w:val="restart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12899" w:type="dxa"/>
            <w:gridSpan w:val="7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Прогноз</w:t>
            </w:r>
          </w:p>
        </w:tc>
      </w:tr>
      <w:tr w:rsidR="005B6507" w:rsidRPr="003401E4" w:rsidTr="0036099E">
        <w:trPr>
          <w:trHeight w:val="409"/>
        </w:trPr>
        <w:tc>
          <w:tcPr>
            <w:tcW w:w="2835" w:type="dxa"/>
            <w:vMerge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2017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3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2018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3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2019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2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2020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2021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2022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2" w:type="dxa"/>
          </w:tcPr>
          <w:p w:rsidR="00F41CC0" w:rsidRPr="003401E4" w:rsidRDefault="005B6507" w:rsidP="00FD4D85">
            <w:pPr>
              <w:tabs>
                <w:tab w:val="left" w:pos="467"/>
              </w:tabs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2023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5B6507" w:rsidRPr="003401E4" w:rsidTr="0036099E">
        <w:tc>
          <w:tcPr>
            <w:tcW w:w="2835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vAlign w:val="center"/>
          </w:tcPr>
          <w:p w:rsidR="00F41CC0" w:rsidRPr="003401E4" w:rsidRDefault="00F41CC0" w:rsidP="00FD4D85">
            <w:pPr>
              <w:tabs>
                <w:tab w:val="left" w:pos="4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8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b/>
                <w:sz w:val="28"/>
                <w:szCs w:val="28"/>
                <w:lang w:val="ru-RU"/>
              </w:rPr>
              <w:t>Доходы,</w:t>
            </w:r>
          </w:p>
          <w:p w:rsidR="00DE2BD6" w:rsidRPr="003401E4" w:rsidRDefault="00DE2BD6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24 812 516,06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24 776 344,00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25 192 228,63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25 605 188,51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25 627 363,18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26 179 511,73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27 068 191,34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3401E4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13 956 236,43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14 632 454,43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15 677 380,00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16 090 339,88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16 112 514,55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16 664 663,10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17 553 342,71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3401E4">
            <w:pPr>
              <w:autoSpaceDE w:val="0"/>
              <w:autoSpaceDN w:val="0"/>
              <w:adjustRightInd w:val="0"/>
              <w:ind w:left="317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10 856 279,63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10 143 889,57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9 514 848,63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9 514 848,63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9 514 848,63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9 514 848,63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9 514 848,63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b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25 312 516,06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24 776 344,00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25 192 228,63</w:t>
            </w:r>
          </w:p>
        </w:tc>
        <w:tc>
          <w:tcPr>
            <w:tcW w:w="1842" w:type="dxa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25 605 188,51</w:t>
            </w:r>
          </w:p>
        </w:tc>
        <w:tc>
          <w:tcPr>
            <w:tcW w:w="1843" w:type="dxa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25 627 363,18</w:t>
            </w:r>
          </w:p>
        </w:tc>
        <w:tc>
          <w:tcPr>
            <w:tcW w:w="1843" w:type="dxa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26 179 511,73</w:t>
            </w:r>
          </w:p>
        </w:tc>
        <w:tc>
          <w:tcPr>
            <w:tcW w:w="1842" w:type="dxa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27 068 191,34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b/>
                <w:sz w:val="28"/>
                <w:szCs w:val="28"/>
                <w:lang w:val="ru-RU"/>
              </w:rPr>
              <w:t>Дефицит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-500 000,00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E2BD6" w:rsidRPr="003401E4" w:rsidTr="0036099E">
        <w:tc>
          <w:tcPr>
            <w:tcW w:w="2835" w:type="dxa"/>
          </w:tcPr>
          <w:p w:rsidR="00DE2BD6" w:rsidRPr="003401E4" w:rsidRDefault="00DE2BD6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b/>
                <w:sz w:val="28"/>
                <w:szCs w:val="28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2" w:type="dxa"/>
            <w:vAlign w:val="bottom"/>
          </w:tcPr>
          <w:p w:rsidR="00DE2BD6" w:rsidRPr="003401E4" w:rsidRDefault="00DE2BD6">
            <w:pPr>
              <w:jc w:val="right"/>
              <w:rPr>
                <w:color w:val="000000"/>
                <w:sz w:val="28"/>
                <w:szCs w:val="28"/>
              </w:rPr>
            </w:pPr>
            <w:r w:rsidRPr="003401E4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FD4D85" w:rsidRDefault="00FD4D85" w:rsidP="00C0655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  <w:sectPr w:rsidR="00FD4D85" w:rsidSect="005306A8">
          <w:pgSz w:w="16838" w:h="11906" w:orient="landscape" w:code="9"/>
          <w:pgMar w:top="425" w:right="680" w:bottom="567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horzAnchor="page" w:tblpX="11288" w:tblpY="-280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B5936" w:rsidRPr="005306A8" w:rsidTr="004B5936">
        <w:trPr>
          <w:trHeight w:val="1484"/>
        </w:trPr>
        <w:tc>
          <w:tcPr>
            <w:tcW w:w="5103" w:type="dxa"/>
          </w:tcPr>
          <w:p w:rsidR="004B5936" w:rsidRPr="005B6507" w:rsidRDefault="004B5936" w:rsidP="00092FA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30"/>
                <w:szCs w:val="30"/>
                <w:lang w:val="ru-RU"/>
              </w:rPr>
            </w:pPr>
            <w:r w:rsidRPr="005B6507">
              <w:rPr>
                <w:rFonts w:eastAsiaTheme="minorHAnsi"/>
                <w:sz w:val="30"/>
                <w:szCs w:val="30"/>
                <w:lang w:val="ru-RU"/>
              </w:rPr>
              <w:lastRenderedPageBreak/>
              <w:t xml:space="preserve">Приложение </w:t>
            </w:r>
            <w:r>
              <w:rPr>
                <w:rFonts w:eastAsiaTheme="minorHAnsi"/>
                <w:sz w:val="30"/>
                <w:szCs w:val="30"/>
                <w:lang w:val="ru-RU"/>
              </w:rPr>
              <w:t>2</w:t>
            </w:r>
          </w:p>
          <w:p w:rsidR="004B5936" w:rsidRPr="005B6507" w:rsidRDefault="004B5936" w:rsidP="00092FA1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val="ru-RU"/>
              </w:rPr>
            </w:pPr>
            <w:r w:rsidRPr="005B6507">
              <w:rPr>
                <w:rFonts w:eastAsiaTheme="minorHAnsi"/>
                <w:sz w:val="30"/>
                <w:szCs w:val="30"/>
                <w:lang w:val="ru-RU"/>
              </w:rPr>
              <w:t xml:space="preserve">к </w:t>
            </w:r>
            <w:r w:rsidR="008250DD">
              <w:rPr>
                <w:rFonts w:eastAsiaTheme="minorHAnsi"/>
                <w:sz w:val="30"/>
                <w:szCs w:val="30"/>
                <w:lang w:val="ru-RU"/>
              </w:rPr>
              <w:t xml:space="preserve">проекту </w:t>
            </w:r>
            <w:r w:rsidRPr="005B6507">
              <w:rPr>
                <w:rFonts w:eastAsiaTheme="minorHAnsi"/>
                <w:sz w:val="30"/>
                <w:szCs w:val="30"/>
                <w:lang w:val="ru-RU"/>
              </w:rPr>
              <w:t>бюджетно</w:t>
            </w:r>
            <w:r w:rsidR="008250DD">
              <w:rPr>
                <w:rFonts w:eastAsiaTheme="minorHAnsi"/>
                <w:sz w:val="30"/>
                <w:szCs w:val="30"/>
                <w:lang w:val="ru-RU"/>
              </w:rPr>
              <w:t xml:space="preserve">го прогноза </w:t>
            </w:r>
            <w:r w:rsidRPr="005B6507">
              <w:rPr>
                <w:rFonts w:eastAsiaTheme="minorHAnsi"/>
                <w:sz w:val="30"/>
                <w:szCs w:val="30"/>
                <w:lang w:val="ru-RU"/>
              </w:rPr>
              <w:t xml:space="preserve">города Красноярска на 2017 – 2023 годы                                  </w:t>
            </w:r>
          </w:p>
          <w:p w:rsidR="004B5936" w:rsidRPr="005B6507" w:rsidRDefault="004B5936" w:rsidP="004B593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val="ru-RU"/>
              </w:rPr>
            </w:pPr>
          </w:p>
        </w:tc>
      </w:tr>
    </w:tbl>
    <w:p w:rsidR="008E125E" w:rsidRDefault="008E125E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3813D6" w:rsidRPr="005B6507" w:rsidRDefault="003813D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val="ru-RU"/>
        </w:rPr>
      </w:pPr>
    </w:p>
    <w:p w:rsidR="00FD4D85" w:rsidRDefault="00FD4D85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FD4D85" w:rsidRDefault="00FD4D85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</w:p>
    <w:p w:rsidR="004B5936" w:rsidRDefault="004B5936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bookmarkStart w:id="2" w:name="_GoBack"/>
      <w:bookmarkEnd w:id="2"/>
    </w:p>
    <w:p w:rsidR="008E125E" w:rsidRPr="005B6507" w:rsidRDefault="005A34DB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r w:rsidRPr="005B6507">
        <w:rPr>
          <w:rFonts w:eastAsiaTheme="minorHAnsi"/>
          <w:b/>
          <w:sz w:val="30"/>
          <w:szCs w:val="30"/>
          <w:lang w:val="ru-RU"/>
        </w:rPr>
        <w:t>Показатели</w:t>
      </w:r>
      <w:r w:rsidR="008E125E" w:rsidRPr="005B6507">
        <w:rPr>
          <w:rFonts w:eastAsiaTheme="minorHAnsi"/>
          <w:b/>
          <w:sz w:val="30"/>
          <w:szCs w:val="30"/>
          <w:lang w:val="ru-RU"/>
        </w:rPr>
        <w:t xml:space="preserve"> </w:t>
      </w:r>
    </w:p>
    <w:p w:rsidR="005A34DB" w:rsidRPr="005B6507" w:rsidRDefault="008E125E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r w:rsidRPr="005B6507">
        <w:rPr>
          <w:rFonts w:eastAsiaTheme="minorHAnsi"/>
          <w:b/>
          <w:sz w:val="30"/>
          <w:szCs w:val="30"/>
          <w:lang w:val="ru-RU"/>
        </w:rPr>
        <w:t>финансово</w:t>
      </w:r>
      <w:r w:rsidR="005A34DB" w:rsidRPr="005B6507">
        <w:rPr>
          <w:rFonts w:eastAsiaTheme="minorHAnsi"/>
          <w:b/>
          <w:sz w:val="30"/>
          <w:szCs w:val="30"/>
          <w:lang w:val="ru-RU"/>
        </w:rPr>
        <w:t>го</w:t>
      </w:r>
      <w:r w:rsidRPr="005B6507">
        <w:rPr>
          <w:rFonts w:eastAsiaTheme="minorHAnsi"/>
          <w:b/>
          <w:sz w:val="30"/>
          <w:szCs w:val="30"/>
          <w:lang w:val="ru-RU"/>
        </w:rPr>
        <w:t xml:space="preserve"> обеспечени</w:t>
      </w:r>
      <w:r w:rsidR="005A34DB" w:rsidRPr="005B6507">
        <w:rPr>
          <w:rFonts w:eastAsiaTheme="minorHAnsi"/>
          <w:b/>
          <w:sz w:val="30"/>
          <w:szCs w:val="30"/>
          <w:lang w:val="ru-RU"/>
        </w:rPr>
        <w:t>я</w:t>
      </w:r>
      <w:r w:rsidRPr="005B6507">
        <w:rPr>
          <w:rFonts w:eastAsiaTheme="minorHAnsi"/>
          <w:b/>
          <w:sz w:val="30"/>
          <w:szCs w:val="30"/>
          <w:lang w:val="ru-RU"/>
        </w:rPr>
        <w:t xml:space="preserve"> муниципальных программ </w:t>
      </w:r>
    </w:p>
    <w:p w:rsidR="008E125E" w:rsidRPr="005B6507" w:rsidRDefault="005A34DB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30"/>
          <w:szCs w:val="30"/>
          <w:lang w:val="ru-RU"/>
        </w:rPr>
      </w:pPr>
      <w:r w:rsidRPr="005B6507">
        <w:rPr>
          <w:rFonts w:eastAsiaTheme="minorHAnsi"/>
          <w:b/>
          <w:sz w:val="30"/>
          <w:szCs w:val="30"/>
          <w:lang w:val="ru-RU"/>
        </w:rPr>
        <w:t xml:space="preserve">и </w:t>
      </w:r>
      <w:r w:rsidR="008E125E" w:rsidRPr="005B6507">
        <w:rPr>
          <w:rFonts w:eastAsiaTheme="minorHAnsi"/>
          <w:b/>
          <w:sz w:val="30"/>
          <w:szCs w:val="30"/>
          <w:lang w:val="ru-RU"/>
        </w:rPr>
        <w:t>непрограммных направлений деятельности</w:t>
      </w:r>
      <w:r w:rsidRPr="005B6507">
        <w:rPr>
          <w:rFonts w:eastAsiaTheme="minorHAnsi"/>
          <w:b/>
          <w:sz w:val="30"/>
          <w:szCs w:val="30"/>
          <w:lang w:val="ru-RU"/>
        </w:rPr>
        <w:t xml:space="preserve"> города </w:t>
      </w:r>
    </w:p>
    <w:p w:rsidR="005A34DB" w:rsidRPr="00D5537B" w:rsidRDefault="005A34DB" w:rsidP="008E125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val="ru-RU"/>
        </w:rPr>
      </w:pPr>
    </w:p>
    <w:p w:rsidR="00F41CC0" w:rsidRPr="003813D6" w:rsidRDefault="00680BA7" w:rsidP="00680BA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val="ru-RU"/>
        </w:rPr>
      </w:pPr>
      <w:r w:rsidRPr="00DE2BD6">
        <w:rPr>
          <w:rFonts w:eastAsiaTheme="minorHAnsi"/>
          <w:sz w:val="20"/>
          <w:lang w:val="ru-RU"/>
        </w:rPr>
        <w:t>в тыс. руб.</w:t>
      </w:r>
    </w:p>
    <w:tbl>
      <w:tblPr>
        <w:tblStyle w:val="aa"/>
        <w:tblW w:w="15910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2"/>
        <w:gridCol w:w="1843"/>
        <w:gridCol w:w="1843"/>
        <w:gridCol w:w="1843"/>
        <w:gridCol w:w="1876"/>
      </w:tblGrid>
      <w:tr w:rsidR="00F41CC0" w:rsidRPr="003401E4" w:rsidTr="00686F23">
        <w:trPr>
          <w:trHeight w:val="466"/>
          <w:tblHeader/>
        </w:trPr>
        <w:tc>
          <w:tcPr>
            <w:tcW w:w="2835" w:type="dxa"/>
            <w:vMerge w:val="restart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Наименование </w:t>
            </w:r>
          </w:p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показателя</w:t>
            </w:r>
          </w:p>
        </w:tc>
        <w:tc>
          <w:tcPr>
            <w:tcW w:w="13075" w:type="dxa"/>
            <w:gridSpan w:val="7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Прогноз</w:t>
            </w:r>
          </w:p>
        </w:tc>
      </w:tr>
      <w:tr w:rsidR="003813D6" w:rsidRPr="003401E4" w:rsidTr="00686F23">
        <w:trPr>
          <w:tblHeader/>
        </w:trPr>
        <w:tc>
          <w:tcPr>
            <w:tcW w:w="2835" w:type="dxa"/>
            <w:vMerge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2017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985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2018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2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 xml:space="preserve">2019 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43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2020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41CC0" w:rsidRPr="003401E4" w:rsidRDefault="00AB0AE3" w:rsidP="00AB0AE3">
            <w:pPr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2021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2022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876" w:type="dxa"/>
            <w:vAlign w:val="center"/>
          </w:tcPr>
          <w:p w:rsidR="00F41CC0" w:rsidRPr="003401E4" w:rsidRDefault="00AB0AE3" w:rsidP="00AB0AE3">
            <w:pPr>
              <w:jc w:val="center"/>
              <w:rPr>
                <w:sz w:val="28"/>
                <w:szCs w:val="28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2023</w:t>
            </w:r>
            <w:r w:rsidR="00F41CC0" w:rsidRPr="003401E4">
              <w:rPr>
                <w:rFonts w:eastAsiaTheme="minorHAnsi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3813D6" w:rsidRPr="003401E4" w:rsidTr="00686F23">
        <w:trPr>
          <w:tblHeader/>
        </w:trPr>
        <w:tc>
          <w:tcPr>
            <w:tcW w:w="2835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7</w:t>
            </w:r>
          </w:p>
        </w:tc>
        <w:tc>
          <w:tcPr>
            <w:tcW w:w="1876" w:type="dxa"/>
            <w:vAlign w:val="center"/>
          </w:tcPr>
          <w:p w:rsidR="00F41CC0" w:rsidRPr="003401E4" w:rsidRDefault="00F41CC0" w:rsidP="00CD1DA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val="ru-RU"/>
              </w:rPr>
            </w:pPr>
            <w:r w:rsidRPr="003401E4">
              <w:rPr>
                <w:rFonts w:eastAsiaTheme="minorHAnsi"/>
                <w:sz w:val="20"/>
                <w:szCs w:val="20"/>
                <w:lang w:val="ru-RU"/>
              </w:rPr>
              <w:t>8</w:t>
            </w:r>
          </w:p>
        </w:tc>
      </w:tr>
      <w:tr w:rsidR="007639BF" w:rsidRPr="003401E4" w:rsidTr="00686F23">
        <w:tc>
          <w:tcPr>
            <w:tcW w:w="2835" w:type="dxa"/>
          </w:tcPr>
          <w:p w:rsidR="007639BF" w:rsidRPr="003401E4" w:rsidRDefault="007639BF" w:rsidP="003813D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t>Муниципальные программы</w:t>
            </w:r>
          </w:p>
        </w:tc>
        <w:tc>
          <w:tcPr>
            <w:tcW w:w="1843" w:type="dxa"/>
          </w:tcPr>
          <w:p w:rsidR="007639BF" w:rsidRDefault="007639BF" w:rsidP="0080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23 969 738,8</w:t>
            </w:r>
            <w:r w:rsidR="00803021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22 304 967,69</w:t>
            </w:r>
          </w:p>
        </w:tc>
        <w:tc>
          <w:tcPr>
            <w:tcW w:w="1842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20 545 797,86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20 958 757,74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20 980 932,41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21 533 080,96</w:t>
            </w:r>
          </w:p>
        </w:tc>
        <w:tc>
          <w:tcPr>
            <w:tcW w:w="1876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22 421 760,57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«Создание условий для развития предпринимательства в городе Красноярске»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30 490,00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30 490,00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30 490,00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«Развитие образования в городе Красноярске»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12 686 514,86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12 095 828,32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11 410 518,45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«Развитие молодежной политики города Красноярска»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261 943,20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259 443,20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259 443,20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«Социальная поддержка населения города Красноярска»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1 261 204,20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1 197 604,20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1 197 604,20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«Развитие культуры в городе Красноярске»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982 459,28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943 613,32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943 613,32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 xml:space="preserve">«Развитие физической культуры, спорта и </w:t>
            </w:r>
            <w:r w:rsidRPr="003401E4">
              <w:rPr>
                <w:color w:val="000000"/>
                <w:lang w:val="ru-RU"/>
              </w:rPr>
              <w:lastRenderedPageBreak/>
              <w:t>туризма в городе Красноярске»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lastRenderedPageBreak/>
              <w:t>1 145 547,52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1 149 673,39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1 115 473,39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lastRenderedPageBreak/>
              <w:t>«Обеспечение пассажирских перевозок транспортом общего пользования в городе Красноярске»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565 024,76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564 869,76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564 869,76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«Обеспечение граждан города Красноярска жилыми помещениями и объектами инженерно-транспортной и коммунальной инфраструктуры»</w:t>
            </w:r>
          </w:p>
        </w:tc>
        <w:tc>
          <w:tcPr>
            <w:tcW w:w="1843" w:type="dxa"/>
          </w:tcPr>
          <w:p w:rsidR="007639BF" w:rsidRPr="007639BF" w:rsidRDefault="007639BF" w:rsidP="00803021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1 882 930,1</w:t>
            </w:r>
            <w:r w:rsidR="00803021">
              <w:rPr>
                <w:color w:val="000000"/>
                <w:lang w:val="ru-RU"/>
              </w:rPr>
              <w:t>4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944 933,05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445 714,05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«Управление земельно-имущественными отношениями на территории города Красноярска»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217 653,36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197 379,06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197 379,06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813D6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«Развитие жилищно-коммунального хозяйства и дорожного комплекса города Красноярска»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3 252 614,60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3 125 421,83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2 554 401,46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5B6507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</w:t>
            </w:r>
            <w:proofErr w:type="spellStart"/>
            <w:r w:rsidRPr="003401E4">
              <w:rPr>
                <w:color w:val="000000"/>
              </w:rPr>
              <w:t>Информатизация</w:t>
            </w:r>
            <w:proofErr w:type="spellEnd"/>
            <w:r w:rsidRPr="003401E4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3401E4">
              <w:rPr>
                <w:color w:val="000000"/>
              </w:rPr>
              <w:t>города</w:t>
            </w:r>
            <w:proofErr w:type="spellEnd"/>
            <w:r w:rsidRPr="003401E4">
              <w:rPr>
                <w:color w:val="000000"/>
              </w:rPr>
              <w:t xml:space="preserve"> </w:t>
            </w:r>
            <w:proofErr w:type="spellStart"/>
            <w:r w:rsidRPr="003401E4">
              <w:rPr>
                <w:color w:val="000000"/>
              </w:rPr>
              <w:t>Красноярска</w:t>
            </w:r>
            <w:proofErr w:type="spellEnd"/>
            <w:r w:rsidRPr="003401E4">
              <w:rPr>
                <w:color w:val="000000"/>
                <w:lang w:val="ru-RU"/>
              </w:rPr>
              <w:t>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22 669,49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22 669,49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22 669,49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5B6507" w:rsidTr="00686F23">
        <w:tc>
          <w:tcPr>
            <w:tcW w:w="2835" w:type="dxa"/>
          </w:tcPr>
          <w:p w:rsidR="007639BF" w:rsidRPr="003401E4" w:rsidRDefault="007639BF" w:rsidP="00686F23">
            <w:pPr>
              <w:ind w:left="175"/>
              <w:rPr>
                <w:color w:val="000000"/>
                <w:lang w:val="ru-RU"/>
              </w:rPr>
            </w:pPr>
            <w:r w:rsidRPr="003401E4">
              <w:rPr>
                <w:color w:val="000000"/>
                <w:lang w:val="ru-RU"/>
              </w:rPr>
              <w:t>«</w:t>
            </w:r>
            <w:proofErr w:type="spellStart"/>
            <w:r w:rsidRPr="003401E4">
              <w:rPr>
                <w:color w:val="000000"/>
              </w:rPr>
              <w:t>Управление</w:t>
            </w:r>
            <w:proofErr w:type="spellEnd"/>
            <w:r w:rsidRPr="003401E4">
              <w:rPr>
                <w:color w:val="000000"/>
                <w:lang w:val="ru-RU"/>
              </w:rPr>
              <w:t xml:space="preserve"> </w:t>
            </w:r>
            <w:proofErr w:type="spellStart"/>
            <w:r w:rsidRPr="003401E4">
              <w:rPr>
                <w:color w:val="000000"/>
              </w:rPr>
              <w:t>муниципальными</w:t>
            </w:r>
            <w:proofErr w:type="spellEnd"/>
            <w:r w:rsidRPr="003401E4">
              <w:rPr>
                <w:color w:val="000000"/>
                <w:lang w:val="ru-RU"/>
              </w:rPr>
              <w:t xml:space="preserve"> </w:t>
            </w:r>
            <w:proofErr w:type="spellStart"/>
            <w:r w:rsidRPr="003401E4">
              <w:rPr>
                <w:color w:val="000000"/>
              </w:rPr>
              <w:lastRenderedPageBreak/>
              <w:t>финансами</w:t>
            </w:r>
            <w:proofErr w:type="spellEnd"/>
            <w:r w:rsidRPr="003401E4">
              <w:rPr>
                <w:color w:val="000000"/>
                <w:lang w:val="ru-RU"/>
              </w:rPr>
              <w:t>»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lastRenderedPageBreak/>
              <w:t>1 660 687,40</w:t>
            </w:r>
          </w:p>
        </w:tc>
        <w:tc>
          <w:tcPr>
            <w:tcW w:w="1985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1 773 042,07</w:t>
            </w:r>
          </w:p>
        </w:tc>
        <w:tc>
          <w:tcPr>
            <w:tcW w:w="1842" w:type="dxa"/>
          </w:tcPr>
          <w:p w:rsidR="007639BF" w:rsidRPr="007639BF" w:rsidRDefault="007639BF">
            <w:pPr>
              <w:jc w:val="right"/>
              <w:rPr>
                <w:color w:val="000000"/>
              </w:rPr>
            </w:pPr>
            <w:r w:rsidRPr="007639BF">
              <w:rPr>
                <w:color w:val="000000"/>
              </w:rPr>
              <w:t>1 803 621,48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43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  <w:tc>
          <w:tcPr>
            <w:tcW w:w="1876" w:type="dxa"/>
          </w:tcPr>
          <w:p w:rsidR="007639BF" w:rsidRPr="007639BF" w:rsidRDefault="007639BF">
            <w:pPr>
              <w:jc w:val="center"/>
              <w:rPr>
                <w:color w:val="000000"/>
              </w:rPr>
            </w:pPr>
            <w:r w:rsidRPr="007639BF">
              <w:rPr>
                <w:color w:val="000000"/>
              </w:rPr>
              <w:t>х</w:t>
            </w:r>
          </w:p>
        </w:tc>
      </w:tr>
      <w:tr w:rsidR="007639BF" w:rsidRPr="003401E4" w:rsidTr="00686F23">
        <w:tc>
          <w:tcPr>
            <w:tcW w:w="2835" w:type="dxa"/>
          </w:tcPr>
          <w:p w:rsidR="007639BF" w:rsidRPr="003401E4" w:rsidRDefault="007639BF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sz w:val="28"/>
                <w:szCs w:val="28"/>
                <w:lang w:val="ru-RU"/>
              </w:rPr>
              <w:lastRenderedPageBreak/>
              <w:t>Непрограммные расходы</w:t>
            </w:r>
          </w:p>
        </w:tc>
        <w:tc>
          <w:tcPr>
            <w:tcW w:w="1843" w:type="dxa"/>
          </w:tcPr>
          <w:p w:rsidR="007639BF" w:rsidRDefault="007639BF" w:rsidP="00803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1 342 777,2</w:t>
            </w:r>
            <w:r w:rsidR="00803021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2 471 376,31</w:t>
            </w:r>
          </w:p>
        </w:tc>
        <w:tc>
          <w:tcPr>
            <w:tcW w:w="1842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4 646 430,77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4 646 430,77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4 646 430,77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4 646 430,77</w:t>
            </w:r>
          </w:p>
        </w:tc>
        <w:tc>
          <w:tcPr>
            <w:tcW w:w="1876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4 646 430,77</w:t>
            </w:r>
          </w:p>
        </w:tc>
      </w:tr>
      <w:tr w:rsidR="007639BF" w:rsidRPr="003401E4" w:rsidTr="00686F23">
        <w:tc>
          <w:tcPr>
            <w:tcW w:w="2835" w:type="dxa"/>
          </w:tcPr>
          <w:p w:rsidR="007639BF" w:rsidRPr="003401E4" w:rsidRDefault="007639BF" w:rsidP="00CD1DA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3401E4">
              <w:rPr>
                <w:rFonts w:eastAsiaTheme="minorHAnsi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25 312 516,06</w:t>
            </w:r>
          </w:p>
        </w:tc>
        <w:tc>
          <w:tcPr>
            <w:tcW w:w="1985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24 776 344,00</w:t>
            </w:r>
          </w:p>
        </w:tc>
        <w:tc>
          <w:tcPr>
            <w:tcW w:w="1842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25 192 228,63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25 605 188,51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25 627 363,18</w:t>
            </w:r>
          </w:p>
        </w:tc>
        <w:tc>
          <w:tcPr>
            <w:tcW w:w="1843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26 179 511,73</w:t>
            </w:r>
          </w:p>
        </w:tc>
        <w:tc>
          <w:tcPr>
            <w:tcW w:w="1876" w:type="dxa"/>
          </w:tcPr>
          <w:p w:rsidR="007639BF" w:rsidRDefault="007639B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27 068 191,34</w:t>
            </w:r>
          </w:p>
        </w:tc>
      </w:tr>
    </w:tbl>
    <w:p w:rsidR="00FC2BDA" w:rsidRPr="008301AC" w:rsidRDefault="00FC2BDA" w:rsidP="005306A8">
      <w:pPr>
        <w:autoSpaceDE w:val="0"/>
        <w:autoSpaceDN w:val="0"/>
        <w:adjustRightInd w:val="0"/>
        <w:outlineLvl w:val="0"/>
        <w:rPr>
          <w:rFonts w:eastAsiaTheme="minorHAnsi"/>
          <w:sz w:val="30"/>
          <w:szCs w:val="30"/>
          <w:lang w:val="ru-RU"/>
        </w:rPr>
      </w:pPr>
    </w:p>
    <w:sectPr w:rsidR="00FC2BDA" w:rsidRPr="008301AC" w:rsidSect="005306A8">
      <w:pgSz w:w="16838" w:h="11906" w:orient="landscape" w:code="9"/>
      <w:pgMar w:top="993" w:right="1134" w:bottom="567" w:left="1134" w:header="568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AE" w:rsidRDefault="00CD1DAE" w:rsidP="000F0292">
      <w:r>
        <w:separator/>
      </w:r>
    </w:p>
  </w:endnote>
  <w:endnote w:type="continuationSeparator" w:id="0">
    <w:p w:rsidR="00CD1DAE" w:rsidRDefault="00CD1DAE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AE" w:rsidRDefault="00CD1DAE" w:rsidP="000F0292">
      <w:r>
        <w:separator/>
      </w:r>
    </w:p>
  </w:footnote>
  <w:footnote w:type="continuationSeparator" w:id="0">
    <w:p w:rsidR="00CD1DAE" w:rsidRDefault="00CD1DAE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88653"/>
      <w:docPartObj>
        <w:docPartGallery w:val="Page Numbers (Top of Page)"/>
        <w:docPartUnique/>
      </w:docPartObj>
    </w:sdtPr>
    <w:sdtEndPr/>
    <w:sdtContent>
      <w:p w:rsidR="00CD1DAE" w:rsidRDefault="00CD1D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37B" w:rsidRPr="00D5537B">
          <w:rPr>
            <w:noProof/>
            <w:lang w:val="ru-RU"/>
          </w:rPr>
          <w:t>2</w:t>
        </w:r>
        <w:r>
          <w:fldChar w:fldCharType="end"/>
        </w:r>
      </w:p>
    </w:sdtContent>
  </w:sdt>
  <w:p w:rsidR="00CD1DAE" w:rsidRDefault="00CD1DA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AE" w:rsidRDefault="00CD1DAE">
    <w:pPr>
      <w:pStyle w:val="a3"/>
      <w:jc w:val="center"/>
    </w:pPr>
  </w:p>
  <w:p w:rsidR="00CD1DAE" w:rsidRDefault="00CD1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92F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F834C1"/>
    <w:multiLevelType w:val="hybridMultilevel"/>
    <w:tmpl w:val="5052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2301"/>
    <w:rsid w:val="00023EC0"/>
    <w:rsid w:val="0002610A"/>
    <w:rsid w:val="00044174"/>
    <w:rsid w:val="000567F3"/>
    <w:rsid w:val="000768DA"/>
    <w:rsid w:val="00092FA1"/>
    <w:rsid w:val="000B3395"/>
    <w:rsid w:val="000C3CFF"/>
    <w:rsid w:val="000F0292"/>
    <w:rsid w:val="00111CD9"/>
    <w:rsid w:val="00131780"/>
    <w:rsid w:val="001428A7"/>
    <w:rsid w:val="00160979"/>
    <w:rsid w:val="00175A62"/>
    <w:rsid w:val="001858C4"/>
    <w:rsid w:val="001A46EE"/>
    <w:rsid w:val="001C2D11"/>
    <w:rsid w:val="001D3CBF"/>
    <w:rsid w:val="001E4FF5"/>
    <w:rsid w:val="001E7611"/>
    <w:rsid w:val="00217A5C"/>
    <w:rsid w:val="00227B30"/>
    <w:rsid w:val="00236E04"/>
    <w:rsid w:val="002418A8"/>
    <w:rsid w:val="00255AE9"/>
    <w:rsid w:val="002815BE"/>
    <w:rsid w:val="00290240"/>
    <w:rsid w:val="00293E08"/>
    <w:rsid w:val="002943CB"/>
    <w:rsid w:val="00295739"/>
    <w:rsid w:val="002B3412"/>
    <w:rsid w:val="002C6692"/>
    <w:rsid w:val="002C68CB"/>
    <w:rsid w:val="002E4D0B"/>
    <w:rsid w:val="002F1B20"/>
    <w:rsid w:val="002F747A"/>
    <w:rsid w:val="00315F4A"/>
    <w:rsid w:val="0033653B"/>
    <w:rsid w:val="003401E4"/>
    <w:rsid w:val="0036099E"/>
    <w:rsid w:val="003644E4"/>
    <w:rsid w:val="00366651"/>
    <w:rsid w:val="00375076"/>
    <w:rsid w:val="003813D6"/>
    <w:rsid w:val="003D4C31"/>
    <w:rsid w:val="003D5B7D"/>
    <w:rsid w:val="00414B88"/>
    <w:rsid w:val="00433592"/>
    <w:rsid w:val="0044393A"/>
    <w:rsid w:val="0046095B"/>
    <w:rsid w:val="004658A7"/>
    <w:rsid w:val="00493848"/>
    <w:rsid w:val="004969F3"/>
    <w:rsid w:val="004A3EEA"/>
    <w:rsid w:val="004B5936"/>
    <w:rsid w:val="004C4964"/>
    <w:rsid w:val="005306A8"/>
    <w:rsid w:val="005311F4"/>
    <w:rsid w:val="0055292B"/>
    <w:rsid w:val="0056016F"/>
    <w:rsid w:val="00563452"/>
    <w:rsid w:val="005670E5"/>
    <w:rsid w:val="00577F47"/>
    <w:rsid w:val="0058496D"/>
    <w:rsid w:val="0059754F"/>
    <w:rsid w:val="005A2F54"/>
    <w:rsid w:val="005A34DB"/>
    <w:rsid w:val="005B6507"/>
    <w:rsid w:val="005D229B"/>
    <w:rsid w:val="005D5B2E"/>
    <w:rsid w:val="005F2E28"/>
    <w:rsid w:val="00615DA8"/>
    <w:rsid w:val="00630AD3"/>
    <w:rsid w:val="00632A6D"/>
    <w:rsid w:val="00651F4C"/>
    <w:rsid w:val="00656E04"/>
    <w:rsid w:val="00665B2C"/>
    <w:rsid w:val="00680BA7"/>
    <w:rsid w:val="00686F23"/>
    <w:rsid w:val="006A3188"/>
    <w:rsid w:val="006B66BD"/>
    <w:rsid w:val="006D7659"/>
    <w:rsid w:val="006E51C1"/>
    <w:rsid w:val="006E59F7"/>
    <w:rsid w:val="00755CE1"/>
    <w:rsid w:val="00760C25"/>
    <w:rsid w:val="007639BF"/>
    <w:rsid w:val="00781E2E"/>
    <w:rsid w:val="00782A0C"/>
    <w:rsid w:val="0078675B"/>
    <w:rsid w:val="007902DA"/>
    <w:rsid w:val="00790C84"/>
    <w:rsid w:val="007D7B1E"/>
    <w:rsid w:val="007E7123"/>
    <w:rsid w:val="00803021"/>
    <w:rsid w:val="00814D65"/>
    <w:rsid w:val="008250DD"/>
    <w:rsid w:val="008301AC"/>
    <w:rsid w:val="00844759"/>
    <w:rsid w:val="00871874"/>
    <w:rsid w:val="008743EF"/>
    <w:rsid w:val="00875B2B"/>
    <w:rsid w:val="008909E5"/>
    <w:rsid w:val="008923A5"/>
    <w:rsid w:val="0089722C"/>
    <w:rsid w:val="008C59DE"/>
    <w:rsid w:val="008E125E"/>
    <w:rsid w:val="00906818"/>
    <w:rsid w:val="00920D1E"/>
    <w:rsid w:val="00921685"/>
    <w:rsid w:val="00923C19"/>
    <w:rsid w:val="00930C54"/>
    <w:rsid w:val="009850C6"/>
    <w:rsid w:val="009852E3"/>
    <w:rsid w:val="009872FE"/>
    <w:rsid w:val="0098781F"/>
    <w:rsid w:val="00993B40"/>
    <w:rsid w:val="00997BFB"/>
    <w:rsid w:val="009A5285"/>
    <w:rsid w:val="00A02153"/>
    <w:rsid w:val="00A437E1"/>
    <w:rsid w:val="00A62B80"/>
    <w:rsid w:val="00A8278E"/>
    <w:rsid w:val="00AA0829"/>
    <w:rsid w:val="00AB0AE3"/>
    <w:rsid w:val="00AB667F"/>
    <w:rsid w:val="00AC16BC"/>
    <w:rsid w:val="00B107AB"/>
    <w:rsid w:val="00B208DB"/>
    <w:rsid w:val="00B54DF2"/>
    <w:rsid w:val="00B75728"/>
    <w:rsid w:val="00B96AA9"/>
    <w:rsid w:val="00BC2C6A"/>
    <w:rsid w:val="00BD081F"/>
    <w:rsid w:val="00BE062B"/>
    <w:rsid w:val="00BE397B"/>
    <w:rsid w:val="00C06551"/>
    <w:rsid w:val="00C13CAC"/>
    <w:rsid w:val="00C171A0"/>
    <w:rsid w:val="00C43CE8"/>
    <w:rsid w:val="00C537D7"/>
    <w:rsid w:val="00C73ED2"/>
    <w:rsid w:val="00CD1DAE"/>
    <w:rsid w:val="00CE0A6C"/>
    <w:rsid w:val="00CE69E9"/>
    <w:rsid w:val="00CF451B"/>
    <w:rsid w:val="00D22339"/>
    <w:rsid w:val="00D41D75"/>
    <w:rsid w:val="00D5537B"/>
    <w:rsid w:val="00D633A1"/>
    <w:rsid w:val="00D718AA"/>
    <w:rsid w:val="00DA1E40"/>
    <w:rsid w:val="00DD0504"/>
    <w:rsid w:val="00DE2BD6"/>
    <w:rsid w:val="00DF6E27"/>
    <w:rsid w:val="00E0595E"/>
    <w:rsid w:val="00E10901"/>
    <w:rsid w:val="00E217AE"/>
    <w:rsid w:val="00E316E4"/>
    <w:rsid w:val="00E42D51"/>
    <w:rsid w:val="00E543B8"/>
    <w:rsid w:val="00E746A3"/>
    <w:rsid w:val="00E76C8D"/>
    <w:rsid w:val="00E82C5B"/>
    <w:rsid w:val="00E84EC5"/>
    <w:rsid w:val="00EB0F59"/>
    <w:rsid w:val="00EB3960"/>
    <w:rsid w:val="00EE189C"/>
    <w:rsid w:val="00F059B2"/>
    <w:rsid w:val="00F22B1A"/>
    <w:rsid w:val="00F22E19"/>
    <w:rsid w:val="00F27241"/>
    <w:rsid w:val="00F41CC0"/>
    <w:rsid w:val="00F462AC"/>
    <w:rsid w:val="00F661E2"/>
    <w:rsid w:val="00F84CA5"/>
    <w:rsid w:val="00FA6502"/>
    <w:rsid w:val="00FB6913"/>
    <w:rsid w:val="00FC2BDA"/>
    <w:rsid w:val="00FC51FC"/>
    <w:rsid w:val="00FD4D85"/>
    <w:rsid w:val="00FE2C49"/>
    <w:rsid w:val="00FE6006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930C54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table" w:styleId="aa">
    <w:name w:val="Table Grid"/>
    <w:basedOn w:val="a1"/>
    <w:uiPriority w:val="59"/>
    <w:rsid w:val="002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C59609-B8FC-4701-8D58-236105F56779}"/>
</file>

<file path=customXml/itemProps2.xml><?xml version="1.0" encoding="utf-8"?>
<ds:datastoreItem xmlns:ds="http://schemas.openxmlformats.org/officeDocument/2006/customXml" ds:itemID="{839072BE-DC8E-41B3-BF19-48263E3FDB4B}"/>
</file>

<file path=customXml/itemProps3.xml><?xml version="1.0" encoding="utf-8"?>
<ds:datastoreItem xmlns:ds="http://schemas.openxmlformats.org/officeDocument/2006/customXml" ds:itemID="{32102ED5-606F-45C7-81AA-DA667DC21BE8}"/>
</file>

<file path=customXml/itemProps4.xml><?xml version="1.0" encoding="utf-8"?>
<ds:datastoreItem xmlns:ds="http://schemas.openxmlformats.org/officeDocument/2006/customXml" ds:itemID="{4627F588-9E95-478B-B2C2-6972906A6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Платошечкина Наталья Владимировна</dc:creator>
  <cp:lastModifiedBy>Богданов Филипп Владимирович</cp:lastModifiedBy>
  <cp:revision>3</cp:revision>
  <cp:lastPrinted>2016-11-06T12:39:00Z</cp:lastPrinted>
  <dcterms:created xsi:type="dcterms:W3CDTF">2016-11-09T02:04:00Z</dcterms:created>
  <dcterms:modified xsi:type="dcterms:W3CDTF">2016-11-09T02:06:00Z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