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0" w:rsidRDefault="004F44F0" w:rsidP="004F44F0">
      <w:pPr>
        <w:pStyle w:val="3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СЕМЬЯ</w:t>
      </w:r>
    </w:p>
    <w:p w:rsidR="004F44F0" w:rsidRDefault="006E362E" w:rsidP="004F44F0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hyperlink r:id="rId5" w:tgtFrame="_blank" w:history="1">
        <w:r w:rsidR="004F44F0"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>Указ Президента РФ от 20.03.2020 N 199 "О дополнительных мерах государственной поддержки семей, имеющих детей"</w:t>
        </w:r>
      </w:hyperlink>
    </w:p>
    <w:p w:rsidR="004F44F0" w:rsidRDefault="004F44F0" w:rsidP="004F44F0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С 1 января 2020 года установлена ежемесячная денежная выплата на ребенка в возрасте от трех до семи лет включительно</w:t>
      </w:r>
    </w:p>
    <w:p w:rsidR="004F44F0" w:rsidRDefault="004F44F0" w:rsidP="004F44F0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Выплата предоставляется в порядке и на условиях, предусмотренных законодательством субъектов РФ, в случае если размер среднедушевого дохода семьи не превышает величину прожиточного минимума на душу населения, установленную в субъекте РФ в соответствии с Федеральным законом от 24.10.1997 N 134-ФЗ "О прожиточном минимуме в Российской Федерации" за второй квартал года, предшествующего году обращения за назначением ежемесячной выплаты.</w:t>
      </w:r>
      <w:proofErr w:type="gramEnd"/>
    </w:p>
    <w:p w:rsidR="004F44F0" w:rsidRDefault="004F44F0" w:rsidP="004F44F0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Размер выплаты составляет 50 процентов величины прожиточного минимума для детей, установленной в субъекте РФ.</w:t>
      </w:r>
    </w:p>
    <w:p w:rsidR="004F44F0" w:rsidRDefault="004F44F0" w:rsidP="004F44F0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Указ вступает в силу со дня его подписания.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bookmarkStart w:id="0" w:name="mailruanchor_fw_sect_5"/>
      <w:bookmarkEnd w:id="0"/>
      <w:r>
        <w:rPr>
          <w:rFonts w:ascii="Helvetica" w:hAnsi="Helvetica" w:cs="Helvetica"/>
          <w:color w:val="333333"/>
          <w:sz w:val="23"/>
          <w:szCs w:val="23"/>
        </w:rPr>
        <w:t>4. социальный налоговый вычет за лечение или покупку лекарств;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5. социальный налоговый вычет по расходам на благотворительность;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6. инвестиционный вычет.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&lt;Информация&gt; ФНС России "Одобрен закон об особенностях налогообложения имущества организаций, с которыми заключены соглашения о защите и поощрении капиталовложений"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На подпись Президенту РФ передан закон, гарантирующий для организаций, заключивших соглашения о защите и поощрении капвложений, сохранение стабильных налоговых условий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 основании закона в отношении налогоплательщиков, являющихся стороной: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соглашения с РФ или субъектом РФ, не применяются положения новых актов законодательства, изменяющие порядок определения налоговой базы, налоговых ставок, налоговых льгот, порядка и (или) сроков уплаты по налогу на имущество организаций и транспортному налогу;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соглашения с субъектом РФ и муниципальным образованием, не применяются положения последующих актов законодательства о налогах в части вышеперечисленных изменений, а также изменения налоговых ставок, налоговых льгот, порядка и (или) сроков уплаты по земельному налогу.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Проект Федерального закона N 933027-7 "О внесении изменений в статью 1 Федерального закона "О проведении эксперимента по установлению специального налогового режима "Налог на профессиональный доход"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Во 2 и 3 чтении будет рассмотрен законопроект о возможности применения с 1 июля 2020 налогового режима для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самозанятых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лиц по всей территории России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Законопроект вносит дополнение в Федеральный закон о проведении эксперимента по установлению специального налогового режима "Налог на профессиональный доход".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Согласно новым положениям присоединяться к эксперименту по введению данного налогового режима смогут субъекты РФ, принявшие соответствующий закон, который должен содержать положение о вступлении его в силу не ранее чем по истечении одного месяца со дня официального опубликования.</w:t>
      </w:r>
    </w:p>
    <w:p w:rsidR="005D3D23" w:rsidRDefault="005D3D23" w:rsidP="005D3D23">
      <w:pPr>
        <w:pStyle w:val="3"/>
        <w:shd w:val="clear" w:color="auto" w:fill="FFFFFF"/>
        <w:rPr>
          <w:rFonts w:ascii="Arial" w:hAnsi="Arial" w:cs="Arial"/>
          <w:color w:val="333333"/>
        </w:rPr>
      </w:pPr>
      <w:bookmarkStart w:id="1" w:name="mailruanchor_mailruanchor_fw_sect_8"/>
      <w:bookmarkEnd w:id="1"/>
      <w:r>
        <w:rPr>
          <w:rFonts w:ascii="Helvetica" w:hAnsi="Helvetica" w:cs="Helvetica"/>
          <w:color w:val="333333"/>
        </w:rPr>
        <w:t>• ФИНАНСЫ. БЮДЖЕТ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Федеральный закон от 01.04.2020 N 71-ФЗ "О внесении изменений в Бюджетный кодекс Российской Федерации"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В БК РФ закреплены новые положения о предоставлении субсидий на возмещение затрат в связи с ранее осуществленными капиталовложениями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Речь идет об объектах капитального строительства, находящихся в собственности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юрлиц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(100 процентов акций (долей) которых принадлежит соответственно Российской Федерации, субъекту РФ, муниципальному образованию), или в государственной (муниципальной) собственности).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Соответствующие субсидии будут предоставляться в случаях, установленных федеральными законами.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Одновременно принятым Законом расширяется перечень видов объектов инфраструктуры, затраты на создание (модернизацию, реконструкцию) которых могут субсидироваться.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Устанавливается возможность обременения созданных (модернизированных, реконструированных) объектов, в том числе путем закрепления обязанности по передаче соответствующих объектов в государственную (муниципальную) собственность.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Федеральный закон от 01.04.2020 N 97-ФЗ "О внесении изменений в отдельные законодательные акты Российской Федерации"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Установлена обязанность раскрытия сведений о подтверждении, пересмотре или отзыве кредитного рейтинга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Закон устанавливает обязанность раскрывать помимо сведений о кредитных рейтингах, присвоенных кредитным рейтинговым агентством или иностранным кредитным рейтинговым агентством, также сведения об их подтверждении, пересмотре или отзыве в отношении, в частности страховщиков, профессиональных участников рынка ценных бумаг, эмитентов облигаций с ипотечным покрытием.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Постановление Правительства РФ от 27.03.2020 N 356 "О случаях и порядке возврата или перечисления средств, поступающих во временное распоряжение получателей бюджетных средств"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Возврат 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</w:rPr>
        <w:t>средств, поступающих во временное распоряжение получателей бюджетных средств осуществляется</w:t>
      </w:r>
      <w:proofErr w:type="gram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на основании распоряжения о совершении казначейских платежей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Регламентирован порядок возврата плательщику средств, поступивших во временное распоряжение получателей средств федерального бюджета, бюджета субъекта РФ, местного бюджета, бюджета государственного внебюджетного фонда.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случае отзыва лицензии у кредитной организации, ранее осуществившей банковскую операцию по переводу указанных денежных средств, возврат средств осуществляется на основании указанного выше распоряжения с приложением заявления плательщика, содержащего реквизиты для осуществления возврата средств.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 случае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невостребованности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средств по истечении 3 лет со дня их поступления получателю и невозможности их возврата плательщику в связи с непредставлением им заявления, такие средства подлежат перечислению в доход соответствующего бюджета бюджетной системы РФ.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Постановление вступает в силу с 1 января 2021 г.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Распоряжение Правительства РФ от 27.03.2020 N 761-р</w:t>
        </w:r>
        <w:proofErr w:type="gramStart"/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&lt;О</w:t>
        </w:r>
        <w:proofErr w:type="gramEnd"/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внесении изменений в распоряжение Правительства РФ от 16.01.2018 N 21-р&gt;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Скорректирован перечень товаров, в отношении которых при заключении договоров (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госконтрактов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) получателями средств федерального бюджета не предусматриваются авансовые платежи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некоторых позициях перечня (в том числе касающихся компьютеров портативных, оборудования телефонной или телеграфной связи, приемников телевизионных) включена сноска, согласно которой из таких позиций исключаются товары, включенные в единый реестр российской радиоэлектронной продукции, сформированный в соответствии с постановлением Правительства РФ от 10 июля 2019 г. N 878.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Указание Банка России от 05.12.2019 N 5343-У "О требованиях по формированию состава и структуры пенсионных резервов" Зарегистрировано в Минюсте России 16.03.2020 N 57758.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Установлены новые требования по формированию состава и структуры пенсионных резервов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Также определены объекты инвестирования, в которые негосударственные пенсионные фонды имеют право самостоятельно размещать средства пенсионных резервов, и случаи, когда управляющая компания, действуя в качестве доверительного управляющего средствами пенсионных резервов, вправе заключать договоры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репо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Настоящее Указание вступает в силу со дня вступления в силу постановления Правительства РФ о признании утратившим силу Постановления Правительства РФ от 01.02.2007 N 63 "Об утверждении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Правил размещения средств пенсионных резервов негосударственных пенсионных фондов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и контроля за их размещением", за исключением положений, для которых установлен иной срок вступления в силу. Со дня вступления в силу настоящего Указания не применяются, в том числе Приказ ФСФР России от 15.03.2007 N 07-25/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пз-н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"Об утверждении Перечня ценных бумаг международных финансовых организаций, которые могут составлять пенсионные резервы негосударственного пенсионного фонда" и некоторые другие приказы ФСФР России, регулирующие аналогичные правоотношения.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Приказ Минфина России от 25.12.2019 N 248н "Об утверждении Типовой формы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</w:t>
        </w:r>
        <w:proofErr w:type="gramStart"/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обеспечения</w:t>
        </w:r>
        <w:proofErr w:type="gramEnd"/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которых полностью или частично является субсидия, предоставленная из федерального бюджета" Зарегистрировано в Минюсте России 01.04.2020 N 57931.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Установлена типовая форма договора о предоставлении средств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юрлицу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, ИП на безвозмездной и безвозвратной основе в форме гранта, источником финансового 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</w:rPr>
        <w:t>обеспечения</w:t>
      </w:r>
      <w:proofErr w:type="gram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которых является субсидия из федерального бюджета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договоре предусмотрены условия предоставления гранта, порядок взаимодействия сторон и др.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Договоры о предоставлении средств формируются в форме электронного документа, а также подписываются УКЭП лиц, имеющих право действовать от имени каждой из сторон договора, в информационной системе "Электронный бюджет". Договоры,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РФ и Правительства РФ тайну, формируются и подписываются сторонами в форме документа на бумажном носителе.</w:t>
      </w:r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Указанные положения применяются с заключения договоров на 2021 год, если более ранний срок не установлен Правительством РФ.</w:t>
      </w:r>
    </w:p>
    <w:p w:rsidR="005D3D23" w:rsidRDefault="005D3D23" w:rsidP="005D3D23">
      <w:pPr>
        <w:pStyle w:val="3"/>
        <w:shd w:val="clear" w:color="auto" w:fill="FFFFFF"/>
        <w:rPr>
          <w:rFonts w:ascii="Arial" w:hAnsi="Arial" w:cs="Arial"/>
          <w:color w:val="333333"/>
        </w:rPr>
      </w:pPr>
      <w:bookmarkStart w:id="2" w:name="mailruanchor_mailruanchor_fw_sect_9"/>
      <w:bookmarkEnd w:id="2"/>
      <w:r>
        <w:rPr>
          <w:rFonts w:ascii="Helvetica" w:hAnsi="Helvetica" w:cs="Helvetica"/>
          <w:color w:val="333333"/>
        </w:rPr>
        <w:t>• БАНКОВСКОЕ ДЕЛО</w:t>
      </w:r>
    </w:p>
    <w:p w:rsidR="005D3D23" w:rsidRDefault="006E362E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4" w:tgtFrame="_blank" w:history="1">
        <w:r w:rsidR="005D3D23"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Федеральный закон от 01.04.2020 N 91-ФЗ "О внесении изменения в статью 74 Федерального закона "О Центральном банке Российской Федерации (Банке России)"</w:t>
        </w:r>
      </w:hyperlink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На сайте Банка России подлежит размещению информация о вводимых запретах на привлечение денежных средств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физлиц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во вклады, а также на открытие и ведение банковских счетов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физлиц</w:t>
      </w:r>
      <w:proofErr w:type="spellEnd"/>
    </w:p>
    <w:p w:rsidR="005D3D23" w:rsidRDefault="005D3D23" w:rsidP="005D3D2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 случае введения в отношении кредитной организации указанного запрета, соответствующая информация размещается на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офиц</w:t>
      </w:r>
      <w:proofErr w:type="spellEnd"/>
      <w:proofErr w:type="gramEnd"/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E32B75" w:rsidRPr="003B0F6F" w:rsidRDefault="00E32B75" w:rsidP="00301A58">
      <w:pPr>
        <w:jc w:val="both"/>
        <w:rPr>
          <w:sz w:val="28"/>
          <w:szCs w:val="28"/>
        </w:rPr>
      </w:pPr>
    </w:p>
    <w:p w:rsidR="00330F58" w:rsidRPr="00F676BD" w:rsidRDefault="00330F58" w:rsidP="00330F58">
      <w:pPr>
        <w:jc w:val="both"/>
        <w:rPr>
          <w:sz w:val="28"/>
          <w:szCs w:val="28"/>
        </w:rPr>
      </w:pPr>
    </w:p>
    <w:p w:rsidR="00330F58" w:rsidRPr="00F676BD" w:rsidRDefault="00330F58" w:rsidP="00330F58">
      <w:pPr>
        <w:jc w:val="both"/>
        <w:rPr>
          <w:sz w:val="28"/>
          <w:szCs w:val="28"/>
        </w:rPr>
      </w:pPr>
    </w:p>
    <w:p w:rsidR="00330F58" w:rsidRPr="00F676BD" w:rsidRDefault="00330F58" w:rsidP="00330F58">
      <w:pPr>
        <w:jc w:val="both"/>
        <w:rPr>
          <w:sz w:val="28"/>
          <w:szCs w:val="28"/>
        </w:rPr>
      </w:pPr>
    </w:p>
    <w:p w:rsidR="00330F58" w:rsidRDefault="00330F58" w:rsidP="00330F58">
      <w:pPr>
        <w:jc w:val="both"/>
      </w:pPr>
    </w:p>
    <w:p w:rsidR="00330F58" w:rsidRDefault="00330F58" w:rsidP="00330F58">
      <w:pPr>
        <w:jc w:val="both"/>
      </w:pPr>
    </w:p>
    <w:p w:rsidR="00330F58" w:rsidRDefault="00330F58" w:rsidP="00330F58">
      <w:pPr>
        <w:jc w:val="both"/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sectPr w:rsidR="00330F5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4F44F0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9706A"/>
    <w:rsid w:val="005B660D"/>
    <w:rsid w:val="005D1579"/>
    <w:rsid w:val="005D3D23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362E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13D76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1459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A30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B7C68"/>
    <w:rsid w:val="00AD62E4"/>
    <w:rsid w:val="00AE0832"/>
    <w:rsid w:val="00AF3960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1B0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F44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4F44F0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F44F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F44F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D3D23"/>
    <w:rPr>
      <w:color w:val="800080"/>
      <w:u w:val="single"/>
    </w:rPr>
  </w:style>
  <w:style w:type="character" w:customStyle="1" w:styleId="js-phone-numbermailrucssattributepostfix">
    <w:name w:val="js-phone-number_mailru_css_attribute_postfix"/>
    <w:basedOn w:val="a0"/>
    <w:rsid w:val="005D3D23"/>
  </w:style>
  <w:style w:type="character" w:customStyle="1" w:styleId="js-phone-number">
    <w:name w:val="js-phone-number"/>
    <w:basedOn w:val="a0"/>
    <w:rsid w:val="005D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w/2020-04-06/click/consultant/?dst=http%3A%2F%2Fwww.consultant.ru%2Fdocument%2Fcons_doc_LAW_349047%2F%23utm_campaign%3Dfw%26utm_source%3Dconsultant%26utm_medium%3Demail%26utm_content%3Dbody" TargetMode="External"/><Relationship Id="rId13" Type="http://schemas.openxmlformats.org/officeDocument/2006/relationships/hyperlink" Target="http://www.consultant.ru/cabinet/stat/fw/2020-04-06/click/consultant/?dst=http%3A%2F%2Fwww.consultant.ru%2Fdocument%2Fcons_doc_LAW_349119%2F%23utm_campaign%3Dfw%26utm_source%3Dconsultant%26utm_medium%3Demail%26utm_content%3Db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w/2020-04-06/click/consultant/?dst=http%3A%2F%2Fstatic.consultant.ru%2Fobj%2Ffile%2Fdoc%2Fpr_fz310320.rtf%23utm_campaign%3Dfw%26utm_source%3Dconsultant%26utm_medium%3Demail%26utm_content%3Dbody" TargetMode="External"/><Relationship Id="rId12" Type="http://schemas.openxmlformats.org/officeDocument/2006/relationships/hyperlink" Target="http://www.consultant.ru/cabinet/stat/fw/2020-04-06/click/consultant/?dst=http%3A%2F%2Fwww.consultant.ru%2Fdocument%2Fcons_doc_LAW_348775%2F%23utm_campaign%3Dfw%26utm_source%3Dconsultant%26utm_medium%3Demail%26utm_content%3Dbo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w/2020-04-06/click/consultant/?dst=http%3A%2F%2Fwww.consultant.ru%2Fdocument%2Fcons_doc_LAW_348907%2F%23utm_campaign%3Dfw%26utm_source%3Dconsultant%26utm_medium%3Demail%26utm_content%3Dbody" TargetMode="External"/><Relationship Id="rId11" Type="http://schemas.openxmlformats.org/officeDocument/2006/relationships/hyperlink" Target="http://www.consultant.ru/cabinet/stat/fw/2020-04-06/click/consultant/?dst=http%3A%2F%2Fwww.consultant.ru%2Fdocument%2Fcons_doc_LAW_348966%2F%23utm_campaign%3Dfw%26utm_source%3Dconsultant%26utm_medium%3Demail%26utm_content%3Dbody" TargetMode="External"/><Relationship Id="rId5" Type="http://schemas.openxmlformats.org/officeDocument/2006/relationships/hyperlink" Target="http://www.consultant.ru/cabinet/stat/fw/2020-03-30/click/consultant/?dst=http%3A%2F%2Fwww.consultant.ru%2Fdocument%2Fcons_doc_LAW_348134%2F%23utm_campaign%3Dfw%26utm_source%3Dconsultant%26utm_medium%3Demail%26utm_content%3Dbody" TargetMode="External"/><Relationship Id="rId15" Type="http://schemas.openxmlformats.org/officeDocument/2006/relationships/fontTable" Target="fontTable.xml"/><Relationship Id="rId208" Type="http://schemas.openxmlformats.org/officeDocument/2006/relationships/customXml" Target="../customXml/item1.xml"/><Relationship Id="rId10" Type="http://schemas.openxmlformats.org/officeDocument/2006/relationships/hyperlink" Target="http://www.consultant.ru/cabinet/stat/fw/2020-04-06/click/consultant/?dst=http%3A%2F%2Fwww.consultant.ru%2Fdocument%2Fcons_doc_LAW_348964%2F%23utm_campaign%3Dfw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w/2020-04-06/click/consultant/?dst=http%3A%2F%2Fwww.consultant.ru%2Fdocument%2Fcons_doc_LAW_349076%2F%23utm_campaign%3Dfw%26utm_source%3Dconsultant%26utm_medium%3Demail%26utm_content%3Dbody" TargetMode="External"/><Relationship Id="rId14" Type="http://schemas.openxmlformats.org/officeDocument/2006/relationships/hyperlink" Target="http://www.consultant.ru/cabinet/stat/fw/2020-04-06/click/consultant/?dst=http%3A%2F%2Fwww.consultant.ru%2Fdocument%2Fcons_doc_LAW_349070%2F%23utm_campaign%3Dfw%26utm_source%3Dconsultant%26utm_medium%3Demail%26utm_content%3Dbody" TargetMode="External"/><Relationship Id="rId207" Type="http://schemas.microsoft.com/office/2007/relationships/stylesWithEffects" Target="stylesWithEffects.xml"/><Relationship Id="rId21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101AC-B028-4B36-9051-F9EBC0757B1B}"/>
</file>

<file path=customXml/itemProps2.xml><?xml version="1.0" encoding="utf-8"?>
<ds:datastoreItem xmlns:ds="http://schemas.openxmlformats.org/officeDocument/2006/customXml" ds:itemID="{8F54A678-E57E-4C03-90FC-93E22B395EDF}"/>
</file>

<file path=customXml/itemProps3.xml><?xml version="1.0" encoding="utf-8"?>
<ds:datastoreItem xmlns:ds="http://schemas.openxmlformats.org/officeDocument/2006/customXml" ds:itemID="{0F65D27B-D58D-43F2-873E-135C8CA34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2020-04-13T01:48:00Z</dcterms:created>
  <dcterms:modified xsi:type="dcterms:W3CDTF">2020-04-13T01:48:00Z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