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8235DA" w:rsidRPr="00EE6C39" w:rsidRDefault="008235DA" w:rsidP="008235DA">
      <w:pPr>
        <w:autoSpaceDE w:val="0"/>
        <w:autoSpaceDN w:val="0"/>
        <w:adjustRightInd w:val="0"/>
        <w:spacing w:after="0" w:line="240" w:lineRule="auto"/>
        <w:ind w:left="539"/>
        <w:rPr>
          <w:rFonts w:ascii="Times New Roman" w:eastAsia="Times New Roman" w:hAnsi="Times New Roman"/>
          <w:sz w:val="24"/>
          <w:szCs w:val="24"/>
          <w:lang w:eastAsia="ru-RU"/>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58"/>
        <w:gridCol w:w="2075"/>
        <w:gridCol w:w="2157"/>
        <w:gridCol w:w="2251"/>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445009"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24:50:0300294:200, расположенного по адресу: г. Красноярск, Центральный район, 8 км. Енисейского тракта, предназначенного для строительства промышленных, коммунальных и складских объектов.</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8 922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w:t>
            </w:r>
            <w:r w:rsidRPr="002C445F">
              <w:rPr>
                <w:rFonts w:ascii="Times New Roman" w:eastAsia="Times New Roman" w:hAnsi="Times New Roman"/>
                <w:sz w:val="24"/>
                <w:szCs w:val="24"/>
                <w:lang w:eastAsia="ru-RU"/>
              </w:rPr>
              <w:lastRenderedPageBreak/>
              <w:t>востока и запада – смежными земельными участками, с юга – участком автодороги по ул. Дальней. Участок свободен от капитальной застройки. Границы земельного участка не установлены на местности.</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Обременения земельного участка: охранная зона инженерных сетей 5 128кв.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proofErr w:type="gramStart"/>
            <w:r w:rsidRPr="002C445F">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санитарно-защитной зоны промышленных предприятий, санитарно-защитной зоны кладбищ и зоны санитарных разрывов высоковольтных линий, установленных в соответствии с законодательством о санитарно-эпидемиологическом благополучии населения; охранной зоны воздушной ЛЭП Д-5/Д-6 «Левобережная–ЦРП-220» в границах г. Красноярска, 24.50.2.12.</w:t>
            </w:r>
            <w:proofErr w:type="gramEnd"/>
            <w:r w:rsidRPr="002C445F">
              <w:rPr>
                <w:rFonts w:ascii="Times New Roman" w:eastAsia="Times New Roman" w:hAnsi="Times New Roman"/>
                <w:sz w:val="24"/>
                <w:szCs w:val="24"/>
                <w:lang w:eastAsia="ru-RU"/>
              </w:rPr>
              <w:t xml:space="preserve"> Список ограничений по использованию и обременений обязательствами: земельный участок попадает </w:t>
            </w:r>
            <w:r w:rsidRPr="002C445F">
              <w:rPr>
                <w:rFonts w:ascii="Times New Roman" w:eastAsia="Times New Roman" w:hAnsi="Times New Roman"/>
                <w:bCs/>
                <w:sz w:val="24"/>
                <w:szCs w:val="24"/>
                <w:lang w:eastAsia="ru-RU"/>
              </w:rPr>
              <w:t>в пределы охранных зон объектов электросетевого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 в указанных охранных зонах. В соответствии с п. 10 Постановления Правительства РФ № 160 от 24.02.2009 г. необходимо получить согласование на строительство в охранной зоне</w:t>
            </w:r>
            <w:r w:rsidRPr="002C445F">
              <w:rPr>
                <w:rFonts w:ascii="Times New Roman" w:eastAsia="Times New Roman" w:hAnsi="Times New Roman"/>
                <w:sz w:val="24"/>
                <w:szCs w:val="24"/>
                <w:lang w:eastAsia="ru-RU"/>
              </w:rPr>
              <w:t xml:space="preserve"> воздушной ЛЭП Д-5/Д-6 «Левобережная–ЦРП-220» в границах г. Красноярска в </w:t>
            </w:r>
            <w:r w:rsidRPr="002C445F">
              <w:rPr>
                <w:rFonts w:ascii="Times New Roman" w:eastAsia="Times New Roman" w:hAnsi="Times New Roman"/>
                <w:sz w:val="24"/>
                <w:szCs w:val="24"/>
                <w:lang w:eastAsia="ru-RU"/>
              </w:rPr>
              <w:lastRenderedPageBreak/>
              <w:t>МЭС Сибири – филиале ОАО «ФСК ЕЭС», а также технические условия на проектирование и строительство объектов капитального строительства.</w:t>
            </w:r>
            <w:r w:rsidRPr="002C445F">
              <w:rPr>
                <w:rFonts w:ascii="Times New Roman" w:eastAsia="Times New Roman" w:hAnsi="Times New Roman"/>
                <w:bCs/>
                <w:sz w:val="24"/>
                <w:szCs w:val="24"/>
                <w:lang w:eastAsia="ru-RU"/>
              </w:rPr>
              <w:t xml:space="preserve"> </w:t>
            </w:r>
            <w:r w:rsidRPr="002C445F">
              <w:rPr>
                <w:rFonts w:ascii="Times New Roman" w:eastAsia="Times New Roman" w:hAnsi="Times New Roman"/>
                <w:sz w:val="24"/>
                <w:szCs w:val="24"/>
                <w:lang w:eastAsia="ru-RU"/>
              </w:rPr>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Разрешенное использование: размещение объектов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В зоне производственных предприятий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класса (П.3) опасности параметры разрешенного строительства не установлены.</w:t>
            </w:r>
          </w:p>
          <w:p w:rsidR="008235DA" w:rsidRPr="00205BB6" w:rsidRDefault="002C445F" w:rsidP="00F3652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Срок договора аренды: 3 года.</w:t>
            </w:r>
          </w:p>
        </w:tc>
        <w:tc>
          <w:tcPr>
            <w:tcW w:w="2075" w:type="dxa"/>
          </w:tcPr>
          <w:p w:rsidR="002C445F" w:rsidRP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lastRenderedPageBreak/>
              <w:t>Решение о проведен</w:t>
            </w:r>
            <w:proofErr w:type="gramStart"/>
            <w:r w:rsidRPr="002C445F">
              <w:rPr>
                <w:rFonts w:ascii="Times New Roman" w:hAnsi="Times New Roman"/>
                <w:sz w:val="24"/>
                <w:szCs w:val="24"/>
              </w:rPr>
              <w:t>ии ау</w:t>
            </w:r>
            <w:proofErr w:type="gramEnd"/>
            <w:r w:rsidRPr="002C445F">
              <w:rPr>
                <w:rFonts w:ascii="Times New Roman" w:hAnsi="Times New Roman"/>
                <w:sz w:val="24"/>
                <w:szCs w:val="24"/>
              </w:rPr>
              <w:t>кциона принято Распоряжением администрации города Красноярска от 12.08.2014 №  1676-арх.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Начальный размер арендной платы: 2 678 000 рублей в год.</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Шаг аукциона: 5 %, что составляет – 133 900 рублей.</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Размер задатка: 20 %, что составляет – 535 600 рублей.</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P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 xml:space="preserve">Назначение платежа: «Задаток </w:t>
            </w:r>
            <w:proofErr w:type="gramStart"/>
            <w:r w:rsidRPr="002C445F">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2C445F">
              <w:rPr>
                <w:rFonts w:ascii="Times New Roman" w:hAnsi="Times New Roman"/>
                <w:sz w:val="24"/>
                <w:szCs w:val="24"/>
              </w:rPr>
              <w:t xml:space="preserve">: 8 км. Енисейского </w:t>
            </w:r>
            <w:r w:rsidRPr="002C445F">
              <w:rPr>
                <w:rFonts w:ascii="Times New Roman" w:hAnsi="Times New Roman"/>
                <w:sz w:val="24"/>
                <w:szCs w:val="24"/>
              </w:rPr>
              <w:lastRenderedPageBreak/>
              <w:t>тракта».</w:t>
            </w:r>
          </w:p>
          <w:p w:rsidR="00F3652F" w:rsidRPr="00205BB6" w:rsidRDefault="00F3652F" w:rsidP="007C7793">
            <w:pPr>
              <w:autoSpaceDE w:val="0"/>
              <w:autoSpaceDN w:val="0"/>
              <w:adjustRightInd w:val="0"/>
              <w:spacing w:after="0" w:line="240" w:lineRule="auto"/>
              <w:rPr>
                <w:rFonts w:ascii="Times New Roman" w:hAnsi="Times New Roman"/>
                <w:sz w:val="24"/>
                <w:szCs w:val="24"/>
              </w:rPr>
            </w:pPr>
          </w:p>
        </w:tc>
        <w:tc>
          <w:tcPr>
            <w:tcW w:w="2251" w:type="dxa"/>
          </w:tcPr>
          <w:p w:rsidR="002C445F" w:rsidRPr="002C445F" w:rsidRDefault="002C445F" w:rsidP="002C445F">
            <w:pPr>
              <w:autoSpaceDE w:val="0"/>
              <w:autoSpaceDN w:val="0"/>
              <w:adjustRightInd w:val="0"/>
              <w:spacing w:after="0" w:line="240" w:lineRule="auto"/>
              <w:rPr>
                <w:rFonts w:ascii="Times New Roman" w:hAnsi="Times New Roman"/>
                <w:b/>
                <w:sz w:val="24"/>
                <w:szCs w:val="24"/>
              </w:rPr>
            </w:pPr>
            <w:r w:rsidRPr="002C445F">
              <w:rPr>
                <w:rFonts w:ascii="Times New Roman" w:hAnsi="Times New Roman"/>
                <w:sz w:val="24"/>
                <w:szCs w:val="24"/>
              </w:rPr>
              <w:lastRenderedPageBreak/>
              <w:t xml:space="preserve">Осмотр земельного участка, расположенного по адресу: г. Красноярск, Центральный район, 8 км. Енисейского тракта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w:t>
            </w:r>
            <w:r w:rsidRPr="002C445F">
              <w:rPr>
                <w:rFonts w:ascii="Times New Roman" w:hAnsi="Times New Roman"/>
                <w:sz w:val="24"/>
                <w:szCs w:val="24"/>
              </w:rPr>
              <w:lastRenderedPageBreak/>
              <w:t xml:space="preserve">Карла Маркса, 95, </w:t>
            </w:r>
            <w:proofErr w:type="spellStart"/>
            <w:r w:rsidRPr="002C445F">
              <w:rPr>
                <w:rFonts w:ascii="Times New Roman" w:hAnsi="Times New Roman"/>
                <w:sz w:val="24"/>
                <w:szCs w:val="24"/>
              </w:rPr>
              <w:t>каб</w:t>
            </w:r>
            <w:proofErr w:type="spellEnd"/>
            <w:r w:rsidRPr="002C445F">
              <w:rPr>
                <w:rFonts w:ascii="Times New Roman" w:hAnsi="Times New Roman"/>
                <w:sz w:val="24"/>
                <w:szCs w:val="24"/>
              </w:rPr>
              <w:t>. 618, телефон 8(391) 226-19-39, 8(391) 226-19-94 в период подачи заявок на участие в торгах, </w:t>
            </w:r>
            <w:proofErr w:type="gramStart"/>
            <w:r w:rsidRPr="002C445F">
              <w:rPr>
                <w:rFonts w:ascii="Times New Roman" w:hAnsi="Times New Roman"/>
                <w:sz w:val="24"/>
                <w:szCs w:val="24"/>
              </w:rPr>
              <w:t>согласно раздела</w:t>
            </w:r>
            <w:proofErr w:type="gramEnd"/>
            <w:r w:rsidRPr="002C445F">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r>
      <w:tr w:rsidR="002C445F" w:rsidRPr="00205BB6" w:rsidTr="007C7793">
        <w:trPr>
          <w:trHeight w:val="565"/>
        </w:trPr>
        <w:tc>
          <w:tcPr>
            <w:tcW w:w="493" w:type="dxa"/>
          </w:tcPr>
          <w:p w:rsidR="002C445F" w:rsidRDefault="002C445F"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58" w:type="dxa"/>
          </w:tcPr>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24:50:0400136:167, расположенного по адресу: г. Красноярск, ул. Шахтеров, 2б/7, предназначенного для строительства объектов торговли (кроме оптовых рынков). </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Общая площадь предполагаемого к строительству земельного </w:t>
            </w:r>
            <w:r w:rsidRPr="002C445F">
              <w:rPr>
                <w:rFonts w:ascii="Times New Roman" w:eastAsia="Times New Roman" w:hAnsi="Times New Roman"/>
                <w:sz w:val="24"/>
                <w:szCs w:val="24"/>
                <w:lang w:eastAsia="ru-RU"/>
              </w:rPr>
              <w:lastRenderedPageBreak/>
              <w:t xml:space="preserve">участка составляет 1 326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Земельный участок ограничен: с севера – участками смежных землепользователей, с юго-востока – землями общего пользования (проезд), с остальных сторон – частным сектором. Участок свободен от капитальной застройки. Обременения земельного участка: 144 кв. м – охранная зона инженерных сетей.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Границы земельного участка не установлены на местности.</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w:t>
            </w:r>
            <w:r w:rsidRPr="002C445F">
              <w:rPr>
                <w:rFonts w:ascii="Times New Roman" w:eastAsia="Times New Roman" w:hAnsi="Times New Roman"/>
                <w:sz w:val="24"/>
                <w:szCs w:val="24"/>
                <w:lang w:eastAsia="ru-RU"/>
              </w:rPr>
              <w:lastRenderedPageBreak/>
              <w:t>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Проектом застройки предусмотреть нормативную ширину проездов не менее 6 м, обеспечить восстановление нарушенного благоустройства.</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Разрешенное использование: размещение объектов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C445F" w:rsidRPr="002C445F" w:rsidRDefault="002C445F" w:rsidP="002C445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 xml:space="preserve">В зоне производственных предприятий </w:t>
            </w:r>
            <w:r w:rsidRPr="002C445F">
              <w:rPr>
                <w:rFonts w:ascii="Times New Roman" w:eastAsia="Times New Roman" w:hAnsi="Times New Roman"/>
                <w:sz w:val="24"/>
                <w:szCs w:val="24"/>
                <w:lang w:val="en-US" w:eastAsia="ru-RU"/>
              </w:rPr>
              <w:t>IV</w:t>
            </w:r>
            <w:r w:rsidRPr="002C445F">
              <w:rPr>
                <w:rFonts w:ascii="Times New Roman" w:eastAsia="Times New Roman" w:hAnsi="Times New Roman"/>
                <w:sz w:val="24"/>
                <w:szCs w:val="24"/>
                <w:lang w:eastAsia="ru-RU"/>
              </w:rPr>
              <w:t>-</w:t>
            </w:r>
            <w:r w:rsidRPr="002C445F">
              <w:rPr>
                <w:rFonts w:ascii="Times New Roman" w:eastAsia="Times New Roman" w:hAnsi="Times New Roman"/>
                <w:sz w:val="24"/>
                <w:szCs w:val="24"/>
                <w:lang w:val="en-US" w:eastAsia="ru-RU"/>
              </w:rPr>
              <w:t>V</w:t>
            </w:r>
            <w:r w:rsidRPr="002C445F">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2C445F" w:rsidRPr="00205BB6" w:rsidRDefault="002C445F" w:rsidP="00F3652F">
            <w:pPr>
              <w:tabs>
                <w:tab w:val="left" w:pos="12155"/>
              </w:tabs>
              <w:spacing w:after="0" w:line="240" w:lineRule="auto"/>
              <w:jc w:val="both"/>
              <w:rPr>
                <w:rFonts w:ascii="Times New Roman" w:eastAsia="Times New Roman" w:hAnsi="Times New Roman"/>
                <w:sz w:val="24"/>
                <w:szCs w:val="24"/>
                <w:lang w:eastAsia="ru-RU"/>
              </w:rPr>
            </w:pPr>
            <w:r w:rsidRPr="002C445F">
              <w:rPr>
                <w:rFonts w:ascii="Times New Roman" w:eastAsia="Times New Roman" w:hAnsi="Times New Roman"/>
                <w:sz w:val="24"/>
                <w:szCs w:val="24"/>
                <w:lang w:eastAsia="ru-RU"/>
              </w:rPr>
              <w:t>Срок договора аренды: 3 года.</w:t>
            </w:r>
          </w:p>
        </w:tc>
        <w:tc>
          <w:tcPr>
            <w:tcW w:w="2075" w:type="dxa"/>
          </w:tcPr>
          <w:p w:rsidR="002C445F" w:rsidRP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lastRenderedPageBreak/>
              <w:t>Решение о проведен</w:t>
            </w:r>
            <w:proofErr w:type="gramStart"/>
            <w:r w:rsidRPr="002C445F">
              <w:rPr>
                <w:rFonts w:ascii="Times New Roman" w:hAnsi="Times New Roman"/>
                <w:sz w:val="24"/>
                <w:szCs w:val="24"/>
              </w:rPr>
              <w:t>ии ау</w:t>
            </w:r>
            <w:proofErr w:type="gramEnd"/>
            <w:r w:rsidRPr="002C445F">
              <w:rPr>
                <w:rFonts w:ascii="Times New Roman" w:hAnsi="Times New Roman"/>
                <w:sz w:val="24"/>
                <w:szCs w:val="24"/>
              </w:rPr>
              <w:t>кциона принято Распоряжением администрации города Красноярска от 13.08.2014 № 1703-арх.</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157" w:type="dxa"/>
          </w:tcPr>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Начальный размер арендной платы: 4 159 494 рублей в год.</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Шаг аукциона: 5 %, что составляет - 207 974,70 рублей.</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 xml:space="preserve">Размер задатка: 20 %, что составляет </w:t>
            </w:r>
            <w:r w:rsidRPr="002C445F">
              <w:rPr>
                <w:rFonts w:ascii="Times New Roman" w:hAnsi="Times New Roman"/>
                <w:sz w:val="24"/>
                <w:szCs w:val="24"/>
              </w:rPr>
              <w:lastRenderedPageBreak/>
              <w:t>– 831 898,80 рублей.</w:t>
            </w:r>
          </w:p>
          <w:p w:rsidR="002C445F" w:rsidRPr="002C445F" w:rsidRDefault="002C445F" w:rsidP="002C445F">
            <w:pPr>
              <w:autoSpaceDE w:val="0"/>
              <w:autoSpaceDN w:val="0"/>
              <w:adjustRightInd w:val="0"/>
              <w:spacing w:after="0" w:line="240" w:lineRule="auto"/>
              <w:rPr>
                <w:rFonts w:ascii="Times New Roman" w:hAnsi="Times New Roman"/>
                <w:sz w:val="24"/>
                <w:szCs w:val="24"/>
              </w:rPr>
            </w:pPr>
          </w:p>
          <w:p w:rsidR="002C445F" w:rsidRP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t xml:space="preserve">Назначение платежа: «Задаток </w:t>
            </w:r>
            <w:proofErr w:type="gramStart"/>
            <w:r w:rsidRPr="002C445F">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2C445F">
              <w:rPr>
                <w:rFonts w:ascii="Times New Roman" w:hAnsi="Times New Roman"/>
                <w:sz w:val="24"/>
                <w:szCs w:val="24"/>
              </w:rPr>
              <w:t>: ул. Шахтеров, 2б/7».</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251" w:type="dxa"/>
          </w:tcPr>
          <w:p w:rsidR="002C445F" w:rsidRPr="002C445F" w:rsidRDefault="002C445F" w:rsidP="002C445F">
            <w:pPr>
              <w:autoSpaceDE w:val="0"/>
              <w:autoSpaceDN w:val="0"/>
              <w:adjustRightInd w:val="0"/>
              <w:spacing w:after="0" w:line="240" w:lineRule="auto"/>
              <w:rPr>
                <w:rFonts w:ascii="Times New Roman" w:hAnsi="Times New Roman"/>
                <w:sz w:val="24"/>
                <w:szCs w:val="24"/>
              </w:rPr>
            </w:pPr>
            <w:r w:rsidRPr="002C445F">
              <w:rPr>
                <w:rFonts w:ascii="Times New Roman" w:hAnsi="Times New Roman"/>
                <w:sz w:val="24"/>
                <w:szCs w:val="24"/>
              </w:rPr>
              <w:lastRenderedPageBreak/>
              <w:t xml:space="preserve">Осмотр земельного участка, расположенного по адресу: г. Красноярск, ул. Шахтеров, 2б/7 на местности будет осуществляться организатором торгов (департаментом градостроительства </w:t>
            </w:r>
            <w:r w:rsidRPr="002C445F">
              <w:rPr>
                <w:rFonts w:ascii="Times New Roman" w:hAnsi="Times New Roman"/>
                <w:sz w:val="24"/>
                <w:szCs w:val="24"/>
              </w:rPr>
              <w:lastRenderedPageBreak/>
              <w:t xml:space="preserve">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2C445F">
              <w:rPr>
                <w:rFonts w:ascii="Times New Roman" w:hAnsi="Times New Roman"/>
                <w:sz w:val="24"/>
                <w:szCs w:val="24"/>
              </w:rPr>
              <w:t>каб</w:t>
            </w:r>
            <w:proofErr w:type="spellEnd"/>
            <w:r w:rsidRPr="002C445F">
              <w:rPr>
                <w:rFonts w:ascii="Times New Roman" w:hAnsi="Times New Roman"/>
                <w:sz w:val="24"/>
                <w:szCs w:val="24"/>
              </w:rPr>
              <w:t>. 618, телефон 8(391) 226-19-39 в период подачи заявок на участие в торгах, </w:t>
            </w:r>
            <w:proofErr w:type="gramStart"/>
            <w:r w:rsidRPr="002C445F">
              <w:rPr>
                <w:rFonts w:ascii="Times New Roman" w:hAnsi="Times New Roman"/>
                <w:sz w:val="24"/>
                <w:szCs w:val="24"/>
              </w:rPr>
              <w:t>согласно раздела</w:t>
            </w:r>
            <w:proofErr w:type="gramEnd"/>
            <w:r w:rsidRPr="002C445F">
              <w:rPr>
                <w:rFonts w:ascii="Times New Roman" w:hAnsi="Times New Roman"/>
                <w:sz w:val="24"/>
                <w:szCs w:val="24"/>
              </w:rPr>
              <w:t xml:space="preserve"> 7 документации.</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3C42A8">
        <w:rPr>
          <w:rFonts w:ascii="Times New Roman" w:eastAsia="Times New Roman" w:hAnsi="Times New Roman"/>
          <w:sz w:val="28"/>
          <w:szCs w:val="28"/>
          <w:lang w:eastAsia="ru-RU"/>
        </w:rPr>
        <w:t>1</w:t>
      </w:r>
      <w:r w:rsidR="00064C3C">
        <w:rPr>
          <w:rFonts w:ascii="Times New Roman" w:eastAsia="Times New Roman" w:hAnsi="Times New Roman"/>
          <w:sz w:val="28"/>
          <w:szCs w:val="28"/>
          <w:lang w:eastAsia="ru-RU"/>
        </w:rPr>
        <w:t>8</w:t>
      </w:r>
      <w:r w:rsidRPr="00F1305C">
        <w:rPr>
          <w:rFonts w:ascii="Times New Roman" w:eastAsia="Times New Roman" w:hAnsi="Times New Roman"/>
          <w:sz w:val="28"/>
          <w:szCs w:val="28"/>
          <w:lang w:eastAsia="ru-RU"/>
        </w:rPr>
        <w:t xml:space="preserve">» </w:t>
      </w:r>
      <w:r w:rsidR="00F1305C" w:rsidRPr="00F1305C">
        <w:rPr>
          <w:rFonts w:ascii="Times New Roman" w:eastAsia="Times New Roman" w:hAnsi="Times New Roman"/>
          <w:sz w:val="28"/>
          <w:szCs w:val="28"/>
          <w:lang w:eastAsia="ru-RU"/>
        </w:rPr>
        <w:t>августа</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3C42A8">
        <w:rPr>
          <w:rFonts w:ascii="Times New Roman" w:eastAsia="Times New Roman" w:hAnsi="Times New Roman"/>
          <w:sz w:val="28"/>
          <w:szCs w:val="28"/>
          <w:lang w:eastAsia="ru-RU"/>
        </w:rPr>
        <w:t>0</w:t>
      </w:r>
      <w:r w:rsidR="00064C3C">
        <w:rPr>
          <w:rFonts w:ascii="Times New Roman" w:eastAsia="Times New Roman" w:hAnsi="Times New Roman"/>
          <w:sz w:val="28"/>
          <w:szCs w:val="28"/>
          <w:lang w:eastAsia="ru-RU"/>
        </w:rPr>
        <w:t>9</w:t>
      </w:r>
      <w:r w:rsidRPr="00F1305C">
        <w:rPr>
          <w:rFonts w:ascii="Times New Roman" w:eastAsia="Times New Roman" w:hAnsi="Times New Roman"/>
          <w:sz w:val="28"/>
          <w:szCs w:val="28"/>
          <w:lang w:eastAsia="ru-RU"/>
        </w:rPr>
        <w:t xml:space="preserve">» </w:t>
      </w:r>
      <w:r w:rsidR="003C42A8">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lastRenderedPageBreak/>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064C3C">
        <w:rPr>
          <w:rFonts w:ascii="Times New Roman" w:hAnsi="Times New Roman"/>
          <w:sz w:val="28"/>
          <w:szCs w:val="28"/>
        </w:rPr>
        <w:t>12</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3C42A8">
        <w:rPr>
          <w:rFonts w:ascii="Times New Roman" w:hAnsi="Times New Roman"/>
          <w:sz w:val="28"/>
          <w:szCs w:val="28"/>
        </w:rPr>
        <w:t>1</w:t>
      </w:r>
      <w:r w:rsidR="00064C3C">
        <w:rPr>
          <w:rFonts w:ascii="Times New Roman" w:hAnsi="Times New Roman"/>
          <w:sz w:val="28"/>
          <w:szCs w:val="28"/>
        </w:rPr>
        <w:t>7</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roofErr w:type="gramEnd"/>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F1305C" w:rsidRPr="00F1305C">
        <w:rPr>
          <w:rFonts w:ascii="Times New Roman" w:hAnsi="Times New Roman"/>
          <w:sz w:val="28"/>
          <w:szCs w:val="28"/>
        </w:rPr>
        <w:t>«</w:t>
      </w:r>
      <w:r w:rsidR="003C42A8">
        <w:rPr>
          <w:rFonts w:ascii="Times New Roman" w:hAnsi="Times New Roman"/>
          <w:sz w:val="28"/>
          <w:szCs w:val="28"/>
        </w:rPr>
        <w:t>1</w:t>
      </w:r>
      <w:r w:rsidR="00064C3C">
        <w:rPr>
          <w:rFonts w:ascii="Times New Roman" w:hAnsi="Times New Roman"/>
          <w:sz w:val="28"/>
          <w:szCs w:val="28"/>
        </w:rPr>
        <w:t>7</w:t>
      </w:r>
      <w:bookmarkStart w:id="0" w:name="_GoBack"/>
      <w:bookmarkEnd w:id="0"/>
      <w:r w:rsidR="00F1305C" w:rsidRPr="00F1305C">
        <w:rPr>
          <w:rFonts w:ascii="Times New Roman" w:hAnsi="Times New Roman"/>
          <w:sz w:val="28"/>
          <w:szCs w:val="28"/>
        </w:rPr>
        <w:t xml:space="preserve">» сентября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235DA"/>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3BB5"/>
    <w:rsid w:val="000440B2"/>
    <w:rsid w:val="000502A7"/>
    <w:rsid w:val="00051927"/>
    <w:rsid w:val="00051ED2"/>
    <w:rsid w:val="0005234E"/>
    <w:rsid w:val="000534A9"/>
    <w:rsid w:val="000600CA"/>
    <w:rsid w:val="000602FE"/>
    <w:rsid w:val="0006123B"/>
    <w:rsid w:val="00062633"/>
    <w:rsid w:val="00064C3C"/>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445F"/>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E0058"/>
    <w:rsid w:val="00EE42F0"/>
    <w:rsid w:val="00EE481D"/>
    <w:rsid w:val="00EF0635"/>
    <w:rsid w:val="00EF65F8"/>
    <w:rsid w:val="00F01804"/>
    <w:rsid w:val="00F02E00"/>
    <w:rsid w:val="00F0461F"/>
    <w:rsid w:val="00F06A34"/>
    <w:rsid w:val="00F06BFA"/>
    <w:rsid w:val="00F076CD"/>
    <w:rsid w:val="00F10094"/>
    <w:rsid w:val="00F1305C"/>
    <w:rsid w:val="00F141B4"/>
    <w:rsid w:val="00F17D43"/>
    <w:rsid w:val="00F21627"/>
    <w:rsid w:val="00F24F9E"/>
    <w:rsid w:val="00F30C61"/>
    <w:rsid w:val="00F3524B"/>
    <w:rsid w:val="00F352B9"/>
    <w:rsid w:val="00F35FFA"/>
    <w:rsid w:val="00F3652F"/>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0C660-5E2D-43EA-8EFF-B9D1716DEB1C}"/>
</file>

<file path=customXml/itemProps2.xml><?xml version="1.0" encoding="utf-8"?>
<ds:datastoreItem xmlns:ds="http://schemas.openxmlformats.org/officeDocument/2006/customXml" ds:itemID="{20D4B3BE-8DC9-47C3-8FF6-EFE30CD4C662}"/>
</file>

<file path=customXml/itemProps3.xml><?xml version="1.0" encoding="utf-8"?>
<ds:datastoreItem xmlns:ds="http://schemas.openxmlformats.org/officeDocument/2006/customXml" ds:itemID="{C44AA939-DAC1-4F56-A7E1-FBB6E2049AC7}"/>
</file>

<file path=docProps/app.xml><?xml version="1.0" encoding="utf-8"?>
<Properties xmlns="http://schemas.openxmlformats.org/officeDocument/2006/extended-properties" xmlns:vt="http://schemas.openxmlformats.org/officeDocument/2006/docPropsVTypes">
  <Template>Normal</Template>
  <TotalTime>66</TotalTime>
  <Pages>15</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20</cp:revision>
  <cp:lastPrinted>2014-08-14T02:56:00Z</cp:lastPrinted>
  <dcterms:created xsi:type="dcterms:W3CDTF">2014-07-31T03:07:00Z</dcterms:created>
  <dcterms:modified xsi:type="dcterms:W3CDTF">2014-08-14T02:56:00Z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