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0F5A78">
        <w:rPr>
          <w:b/>
          <w:sz w:val="26"/>
          <w:szCs w:val="26"/>
        </w:rPr>
        <w:t xml:space="preserve"> по </w:t>
      </w:r>
      <w:r w:rsidRPr="00CC3798">
        <w:rPr>
          <w:b/>
          <w:sz w:val="26"/>
          <w:szCs w:val="26"/>
        </w:rPr>
        <w:t xml:space="preserve">ул. </w:t>
      </w:r>
      <w:r w:rsidR="000F5A78">
        <w:rPr>
          <w:b/>
          <w:sz w:val="26"/>
          <w:szCs w:val="26"/>
        </w:rPr>
        <w:t>Станочной, 7, 9, 11, 13</w:t>
      </w:r>
      <w:r w:rsidRPr="00CC3798">
        <w:rPr>
          <w:b/>
          <w:sz w:val="26"/>
          <w:szCs w:val="26"/>
        </w:rPr>
        <w:t xml:space="preserve"> 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в </w:t>
      </w:r>
      <w:r w:rsidR="000F5A78">
        <w:rPr>
          <w:b/>
          <w:sz w:val="26"/>
          <w:szCs w:val="26"/>
        </w:rPr>
        <w:t>Кировском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0F5A78">
        <w:rPr>
          <w:sz w:val="26"/>
          <w:szCs w:val="26"/>
        </w:rPr>
        <w:t xml:space="preserve"> по ул. Станочной, 7, 9, 11, 13 в 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08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9E55C2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F53F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1</w:t>
      </w:r>
      <w:r w:rsidR="008925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5 часов </w:t>
      </w:r>
      <w:r w:rsidR="009E55C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00 минут 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</w:t>
      </w:r>
      <w:r w:rsid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7744C" w:rsidRP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2954B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="00CB23C9">
        <w:rPr>
          <w:rFonts w:ascii="Times New Roman" w:hAnsi="Times New Roman"/>
          <w:bCs/>
          <w:iCs/>
          <w:color w:val="000000"/>
          <w:sz w:val="26"/>
          <w:szCs w:val="26"/>
        </w:rPr>
        <w:t>6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июл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0</w:t>
      </w:r>
      <w:r w:rsidR="009F44A8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08</w:t>
      </w:r>
      <w:r w:rsidR="005C2C78" w:rsidRPr="005C2C78">
        <w:rPr>
          <w:sz w:val="26"/>
          <w:szCs w:val="26"/>
        </w:rPr>
        <w:t>.</w:t>
      </w:r>
      <w:r w:rsidR="004C0A36" w:rsidRPr="005C2C78">
        <w:rPr>
          <w:sz w:val="26"/>
          <w:szCs w:val="26"/>
        </w:rPr>
        <w:t>0</w:t>
      </w:r>
      <w:r w:rsidR="00712AED">
        <w:rPr>
          <w:sz w:val="26"/>
          <w:szCs w:val="26"/>
        </w:rPr>
        <w:t>5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FE5268" w:rsidRPr="005C2C78">
        <w:rPr>
          <w:sz w:val="26"/>
          <w:szCs w:val="26"/>
        </w:rPr>
        <w:t>5</w:t>
      </w:r>
      <w:r w:rsidR="00712AED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712AED">
        <w:rPr>
          <w:sz w:val="26"/>
          <w:szCs w:val="26"/>
        </w:rPr>
        <w:t xml:space="preserve"> по ул. Станочной, 7, 9, 11, 13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29</w:t>
      </w:r>
      <w:r w:rsidR="00B86CE7" w:rsidRPr="00B86CE7">
        <w:rPr>
          <w:sz w:val="26"/>
          <w:szCs w:val="26"/>
        </w:rPr>
        <w:t>.0</w:t>
      </w:r>
      <w:r w:rsidR="005C2C78">
        <w:rPr>
          <w:sz w:val="26"/>
          <w:szCs w:val="26"/>
        </w:rPr>
        <w:t>6</w:t>
      </w:r>
      <w:r w:rsidR="000E0959" w:rsidRPr="00B86CE7">
        <w:rPr>
          <w:sz w:val="26"/>
          <w:szCs w:val="26"/>
        </w:rPr>
        <w:t>.201</w:t>
      </w:r>
      <w:r w:rsidR="005C2C78">
        <w:rPr>
          <w:sz w:val="26"/>
          <w:szCs w:val="26"/>
        </w:rPr>
        <w:t>8</w:t>
      </w:r>
      <w:r w:rsidR="0000364C" w:rsidRPr="00B86CE7">
        <w:rPr>
          <w:sz w:val="26"/>
          <w:szCs w:val="26"/>
        </w:rPr>
        <w:t xml:space="preserve"> №</w:t>
      </w:r>
      <w:r w:rsidR="005C5CE8" w:rsidRPr="00B86CE7">
        <w:rPr>
          <w:sz w:val="26"/>
          <w:szCs w:val="26"/>
        </w:rPr>
        <w:t> </w:t>
      </w:r>
      <w:r w:rsidR="005C2C78">
        <w:rPr>
          <w:sz w:val="26"/>
          <w:szCs w:val="26"/>
        </w:rPr>
        <w:t>2</w:t>
      </w:r>
      <w:r w:rsidR="00712AED">
        <w:rPr>
          <w:sz w:val="26"/>
          <w:szCs w:val="26"/>
        </w:rPr>
        <w:t>5</w:t>
      </w:r>
      <w:r w:rsidR="005C2C78">
        <w:rPr>
          <w:sz w:val="26"/>
          <w:szCs w:val="26"/>
        </w:rPr>
        <w:t>3</w:t>
      </w:r>
      <w:r w:rsidR="004F6F8E" w:rsidRPr="00B86CE7">
        <w:rPr>
          <w:sz w:val="26"/>
          <w:szCs w:val="26"/>
        </w:rPr>
        <w:t xml:space="preserve">-р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712AED">
        <w:rPr>
          <w:sz w:val="26"/>
          <w:szCs w:val="26"/>
        </w:rPr>
        <w:t xml:space="preserve"> по </w:t>
      </w:r>
      <w:r w:rsidR="00FE5268" w:rsidRPr="00FE5268">
        <w:rPr>
          <w:sz w:val="26"/>
          <w:szCs w:val="26"/>
        </w:rPr>
        <w:t xml:space="preserve">ул. </w:t>
      </w:r>
      <w:r w:rsidR="00712AED">
        <w:rPr>
          <w:sz w:val="26"/>
          <w:szCs w:val="26"/>
        </w:rPr>
        <w:t>Станочной, 7, 9, 11, 13</w:t>
      </w:r>
      <w:r w:rsidR="0000364C" w:rsidRPr="00FE526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712AED">
        <w:rPr>
          <w:rFonts w:ascii="Times New Roman" w:hAnsi="Times New Roman" w:cs="Times New Roman"/>
          <w:sz w:val="26"/>
          <w:szCs w:val="26"/>
        </w:rPr>
        <w:t>Кировский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>ул. </w:t>
      </w:r>
      <w:r w:rsidR="00712AED">
        <w:rPr>
          <w:rFonts w:ascii="Times New Roman" w:hAnsi="Times New Roman" w:cs="Times New Roman"/>
          <w:sz w:val="26"/>
          <w:szCs w:val="26"/>
        </w:rPr>
        <w:t>Станочная, 7, 9, 11, 13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712AED">
        <w:rPr>
          <w:rFonts w:ascii="Times New Roman" w:hAnsi="Times New Roman" w:cs="Times New Roman"/>
          <w:sz w:val="26"/>
          <w:szCs w:val="26"/>
        </w:rPr>
        <w:t>9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712AED">
        <w:rPr>
          <w:rFonts w:ascii="Times New Roman" w:hAnsi="Times New Roman" w:cs="Times New Roman"/>
          <w:sz w:val="26"/>
          <w:szCs w:val="26"/>
        </w:rPr>
        <w:t>796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E1E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C26E1E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C26E1E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>от 07.07.2015г. № В-122 (в редакции решения от 24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AD46B5" w:rsidRPr="00AD46B5">
        <w:rPr>
          <w:rFonts w:ascii="Times New Roman" w:hAnsi="Times New Roman" w:cs="Times New Roman"/>
          <w:sz w:val="26"/>
          <w:szCs w:val="26"/>
        </w:rPr>
        <w:t>4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AD46B5" w:rsidRPr="00AD46B5">
        <w:rPr>
          <w:rFonts w:ascii="Times New Roman" w:hAnsi="Times New Roman" w:cs="Times New Roman"/>
          <w:sz w:val="26"/>
          <w:szCs w:val="26"/>
        </w:rPr>
        <w:t>8</w:t>
      </w:r>
      <w:r w:rsidR="00785D8E" w:rsidRPr="00AD46B5">
        <w:rPr>
          <w:rFonts w:ascii="Times New Roman" w:hAnsi="Times New Roman" w:cs="Times New Roman"/>
          <w:sz w:val="26"/>
          <w:szCs w:val="26"/>
        </w:rPr>
        <w:t>г. № В-2</w:t>
      </w:r>
      <w:r w:rsidR="00AD46B5" w:rsidRPr="00AD46B5">
        <w:rPr>
          <w:rFonts w:ascii="Times New Roman" w:hAnsi="Times New Roman" w:cs="Times New Roman"/>
          <w:sz w:val="26"/>
          <w:szCs w:val="26"/>
        </w:rPr>
        <w:t>76)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1. </w:t>
      </w:r>
      <w:proofErr w:type="spellStart"/>
      <w:r w:rsidRPr="007E2D7E">
        <w:rPr>
          <w:sz w:val="26"/>
          <w:szCs w:val="26"/>
        </w:rPr>
        <w:t>Подзоны</w:t>
      </w:r>
      <w:proofErr w:type="spellEnd"/>
      <w:r w:rsidRPr="007E2D7E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7E2D7E">
        <w:rPr>
          <w:sz w:val="26"/>
          <w:szCs w:val="26"/>
        </w:rPr>
        <w:t>Основные виды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7E2D7E">
        <w:rPr>
          <w:sz w:val="26"/>
          <w:szCs w:val="26"/>
        </w:rPr>
        <w:t>многоэтажная жилая застройка (высотная застройка) (код – 2.6);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образование и просвещение (код – 3.5);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земельные участки (территории) общего пользования (код – 12.0);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социальное обслуживание (код – 3.2);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бытовое обслуживание (код – 3.3);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8)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9)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10)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</w:t>
      </w:r>
      <w:r w:rsidRPr="007E2D7E">
        <w:rPr>
          <w:sz w:val="26"/>
          <w:szCs w:val="26"/>
        </w:rPr>
        <w:t>обслуживание автотранспорта (код - 4.9), в части размещения стоянок (парковок);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13) </w:t>
      </w:r>
      <w:r w:rsidRPr="007E2D7E">
        <w:rPr>
          <w:sz w:val="26"/>
          <w:szCs w:val="26"/>
        </w:rPr>
        <w:t>амбулаторное ветеринарное обслуживание (код – 3.10.1);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14) </w:t>
      </w:r>
      <w:r w:rsidRPr="007E2D7E">
        <w:rPr>
          <w:sz w:val="26"/>
          <w:szCs w:val="26"/>
        </w:rPr>
        <w:t>деловое управление (код – 4.1), в части размещения во встроенных, пристроенных и встроенно-пристроенных помещениях;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15) </w:t>
      </w:r>
      <w:r w:rsidRPr="007E2D7E">
        <w:rPr>
          <w:sz w:val="26"/>
          <w:szCs w:val="26"/>
        </w:rPr>
        <w:t>объекты гаражного назначения (код – 2.7.1), за исключением размещения автомобильных моек.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7E2D7E">
        <w:rPr>
          <w:sz w:val="26"/>
          <w:szCs w:val="26"/>
        </w:rPr>
        <w:t>Условно разрешенные виды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proofErr w:type="spellStart"/>
      <w:r w:rsidRPr="007E2D7E">
        <w:rPr>
          <w:sz w:val="26"/>
          <w:szCs w:val="26"/>
        </w:rPr>
        <w:t>среднеэтажная</w:t>
      </w:r>
      <w:proofErr w:type="spellEnd"/>
      <w:r w:rsidRPr="007E2D7E">
        <w:rPr>
          <w:sz w:val="26"/>
          <w:szCs w:val="26"/>
        </w:rPr>
        <w:t xml:space="preserve"> жилая застройка (код – 2.5);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деловое управление (код – 4.1), в части размещения отдельно стоящих зданий;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общественное управление (код - 3.8);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общественное питание (код – 4.6);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магазины (код – 4.4);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гостиничное обслуживание (код – 4.7);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8) </w:t>
      </w:r>
      <w:r w:rsidRPr="007E2D7E">
        <w:rPr>
          <w:sz w:val="26"/>
          <w:szCs w:val="26"/>
        </w:rPr>
        <w:t>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</w:t>
      </w:r>
      <w:r w:rsidRPr="007E2D7E">
        <w:rPr>
          <w:sz w:val="26"/>
          <w:szCs w:val="26"/>
        </w:rPr>
        <w:t>связь (код - 6.8), за  исключением антенных полей.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7E2D7E">
        <w:rPr>
          <w:sz w:val="26"/>
          <w:szCs w:val="26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предельный размер земельного участка с видами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 xml:space="preserve">коммунальное обслуживание (код – 3.1), связь (код – 6.8) – устанавливается согласно пункту 4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>с иными видами разрешенного использования не подлежит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предельные параметры разрешенного строительства, указанные в подпунктах 2-3 пункта 1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Красноярска, не подлежат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60 %;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коэффициент интенсивности жилой застройки – не более 1,9;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отступ от красной линии до зданий, строений, сооружений при осуществлении строительства - не менее 6 м.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 xml:space="preserve">В соответствии с пунктом 3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 минимальные отступы от границ земельного участка в целях определения мест допустимого размещения зданий, строений, сооружений определяются границами зон планируемого размещения объектов социально-культурного, коммунально-бытового назначения, иных объектов капитального строительства, установленных в утвержденной документации по планировки и межеванию территории.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ED700B" w:rsidRPr="001E2851" w:rsidRDefault="007E2D7E" w:rsidP="007E2D7E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7E2D7E">
        <w:rPr>
          <w:sz w:val="26"/>
          <w:szCs w:val="26"/>
        </w:rPr>
        <w:t>Ограничения по использованию территории: в границах красных линий.</w:t>
      </w:r>
    </w:p>
    <w:p w:rsidR="001E6B90" w:rsidRDefault="001E6B90" w:rsidP="00FC73ED">
      <w:pPr>
        <w:widowControl w:val="0"/>
        <w:ind w:firstLine="709"/>
        <w:jc w:val="both"/>
        <w:rPr>
          <w:b/>
          <w:color w:val="000000"/>
          <w:sz w:val="26"/>
          <w:szCs w:val="26"/>
        </w:rPr>
      </w:pPr>
    </w:p>
    <w:p w:rsidR="00F268D5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  <w:r w:rsidR="00ED700B" w:rsidRPr="00ED700B">
        <w:rPr>
          <w:color w:val="000000"/>
          <w:sz w:val="26"/>
          <w:szCs w:val="26"/>
        </w:rPr>
        <w:t xml:space="preserve">утверждены распоряжением администрации города Красноярска от </w:t>
      </w:r>
      <w:r w:rsidR="003C0C9E">
        <w:rPr>
          <w:color w:val="000000"/>
          <w:sz w:val="26"/>
          <w:szCs w:val="26"/>
        </w:rPr>
        <w:t>08</w:t>
      </w:r>
      <w:r w:rsidR="00ED700B" w:rsidRPr="00ED700B">
        <w:rPr>
          <w:sz w:val="26"/>
          <w:szCs w:val="26"/>
        </w:rPr>
        <w:t>.0</w:t>
      </w:r>
      <w:r w:rsidR="003C0C9E">
        <w:rPr>
          <w:sz w:val="26"/>
          <w:szCs w:val="26"/>
        </w:rPr>
        <w:t>5</w:t>
      </w:r>
      <w:r w:rsidR="00ED700B" w:rsidRPr="00ED700B">
        <w:rPr>
          <w:sz w:val="26"/>
          <w:szCs w:val="26"/>
        </w:rPr>
        <w:t>.2018 № 5</w:t>
      </w:r>
      <w:r w:rsidR="003C0C9E">
        <w:rPr>
          <w:sz w:val="26"/>
          <w:szCs w:val="26"/>
        </w:rPr>
        <w:t>8</w:t>
      </w:r>
      <w:r w:rsidR="00ED700B" w:rsidRPr="00ED700B">
        <w:rPr>
          <w:sz w:val="26"/>
          <w:szCs w:val="26"/>
        </w:rPr>
        <w:t>-арх</w:t>
      </w:r>
      <w:r w:rsidR="00ED700B" w:rsidRPr="00ED700B">
        <w:rPr>
          <w:color w:val="000000"/>
          <w:sz w:val="26"/>
          <w:szCs w:val="26"/>
        </w:rPr>
        <w:t xml:space="preserve"> </w:t>
      </w:r>
      <w:r w:rsidR="00C330D9" w:rsidRPr="00ED700B">
        <w:rPr>
          <w:sz w:val="26"/>
          <w:szCs w:val="26"/>
        </w:rPr>
        <w:t>«О</w:t>
      </w:r>
      <w:r w:rsidR="00C330D9" w:rsidRPr="008E2A72">
        <w:rPr>
          <w:sz w:val="26"/>
          <w:szCs w:val="26"/>
        </w:rPr>
        <w:t xml:space="preserve"> развитии застроенной территории</w:t>
      </w:r>
      <w:r w:rsidR="003C0C9E">
        <w:rPr>
          <w:sz w:val="26"/>
          <w:szCs w:val="26"/>
        </w:rPr>
        <w:t xml:space="preserve"> по ул. Станочной, 7, 9, 11, 13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EF53F6" w:rsidRPr="001E2851" w:rsidRDefault="00EF53F6" w:rsidP="00FC73ED">
      <w:pPr>
        <w:widowControl w:val="0"/>
        <w:ind w:firstLine="709"/>
        <w:jc w:val="both"/>
        <w:rPr>
          <w:sz w:val="26"/>
          <w:szCs w:val="26"/>
        </w:rPr>
      </w:pPr>
      <w:r w:rsidRPr="00EF53F6">
        <w:rPr>
          <w:sz w:val="26"/>
          <w:szCs w:val="26"/>
        </w:rPr>
        <w:t>Варианты расчета приведены в зависимости от различной жилищной обеспеченности, предусмотренной утвержденным генеральным планом городского округа г. Красноярск (решение Красноярского городского Совета депутатов от 13.03.2015 № 7-107).</w:t>
      </w:r>
    </w:p>
    <w:p w:rsidR="00561285" w:rsidRDefault="00561285" w:rsidP="00561285">
      <w:pPr>
        <w:jc w:val="center"/>
        <w:rPr>
          <w:sz w:val="26"/>
          <w:szCs w:val="26"/>
        </w:rPr>
      </w:pPr>
    </w:p>
    <w:p w:rsidR="00E86C5D" w:rsidRDefault="00E86C5D" w:rsidP="00561285">
      <w:pPr>
        <w:jc w:val="center"/>
        <w:rPr>
          <w:sz w:val="26"/>
          <w:szCs w:val="26"/>
        </w:rPr>
      </w:pPr>
    </w:p>
    <w:p w:rsidR="00E86C5D" w:rsidRDefault="00E86C5D" w:rsidP="00561285">
      <w:pPr>
        <w:jc w:val="center"/>
        <w:rPr>
          <w:sz w:val="26"/>
          <w:szCs w:val="26"/>
        </w:rPr>
      </w:pPr>
    </w:p>
    <w:p w:rsidR="00561285" w:rsidRDefault="00561285" w:rsidP="00561285">
      <w:pPr>
        <w:jc w:val="center"/>
        <w:rPr>
          <w:sz w:val="26"/>
          <w:szCs w:val="26"/>
        </w:rPr>
      </w:pPr>
    </w:p>
    <w:p w:rsidR="00561285" w:rsidRDefault="00561285" w:rsidP="00561285">
      <w:pPr>
        <w:jc w:val="center"/>
        <w:rPr>
          <w:sz w:val="26"/>
          <w:szCs w:val="26"/>
        </w:rPr>
      </w:pPr>
    </w:p>
    <w:p w:rsid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>Общие показатели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561285" w:rsidRPr="00561285" w:rsidTr="00561285">
        <w:trPr>
          <w:trHeight w:val="69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№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gramStart"/>
            <w:r w:rsidRPr="00561285">
              <w:rPr>
                <w:sz w:val="26"/>
                <w:szCs w:val="26"/>
              </w:rPr>
              <w:t>п</w:t>
            </w:r>
            <w:proofErr w:type="gramEnd"/>
            <w:r w:rsidRPr="00561285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Наименование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gramStart"/>
            <w:r w:rsidRPr="00561285">
              <w:rPr>
                <w:sz w:val="26"/>
                <w:szCs w:val="26"/>
              </w:rPr>
              <w:t>Едини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61285">
              <w:rPr>
                <w:sz w:val="26"/>
                <w:szCs w:val="26"/>
              </w:rPr>
              <w:t>цы</w:t>
            </w:r>
            <w:proofErr w:type="spellEnd"/>
            <w:proofErr w:type="gramEnd"/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и</w:t>
            </w:r>
            <w:r w:rsidRPr="00561285">
              <w:rPr>
                <w:sz w:val="26"/>
                <w:szCs w:val="26"/>
              </w:rPr>
              <w:t>зме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61285">
              <w:rPr>
                <w:sz w:val="26"/>
                <w:szCs w:val="26"/>
              </w:rPr>
              <w:t>рения</w:t>
            </w:r>
            <w:proofErr w:type="gramEnd"/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Показатель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Примечание</w:t>
            </w:r>
          </w:p>
        </w:tc>
      </w:tr>
      <w:tr w:rsidR="00561285" w:rsidRPr="00561285" w:rsidTr="00561285">
        <w:trPr>
          <w:trHeight w:hRule="exact" w:val="6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1285" w:rsidRPr="00561285" w:rsidRDefault="00561285" w:rsidP="0056128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вари-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ант 1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вари-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ант 2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вари-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ант 3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</w:p>
        </w:tc>
      </w:tr>
      <w:tr w:rsidR="00561285" w:rsidRPr="00561285" w:rsidTr="00561285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9 796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561285" w:rsidRPr="00561285" w:rsidTr="0056128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шт.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согласно исходным данным</w:t>
            </w:r>
          </w:p>
        </w:tc>
      </w:tr>
      <w:tr w:rsidR="00561285" w:rsidRPr="00561285" w:rsidTr="00561285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Этажность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этаж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9 этажей и выше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в соответствии с основным видом разрешенного использования для </w:t>
            </w:r>
            <w:proofErr w:type="spellStart"/>
            <w:r w:rsidRPr="00561285">
              <w:rPr>
                <w:bCs/>
                <w:sz w:val="26"/>
                <w:szCs w:val="26"/>
              </w:rPr>
              <w:t>подзоны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Ж-4-1</w:t>
            </w:r>
          </w:p>
        </w:tc>
      </w:tr>
      <w:tr w:rsidR="00561285" w:rsidRPr="00561285" w:rsidTr="00561285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Максимальный процент застройки для </w:t>
            </w:r>
            <w:proofErr w:type="spellStart"/>
            <w:r w:rsidRPr="00561285">
              <w:rPr>
                <w:bCs/>
                <w:sz w:val="26"/>
                <w:szCs w:val="26"/>
              </w:rPr>
              <w:t>подзоны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%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не более 60%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подп. 3 п. 4 ст. 17.1 Правил землепользования и застройки городского округа город Красноярск</w:t>
            </w:r>
          </w:p>
        </w:tc>
      </w:tr>
      <w:tr w:rsidR="00561285" w:rsidRPr="00561285" w:rsidTr="00561285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Коэффициент интенсивности жилой застройки для </w:t>
            </w:r>
            <w:proofErr w:type="spellStart"/>
            <w:r w:rsidRPr="00561285">
              <w:rPr>
                <w:bCs/>
                <w:sz w:val="26"/>
                <w:szCs w:val="26"/>
              </w:rPr>
              <w:t>подзоны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не более 1,9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подп. 4 п. 4 ст. 17.1 Правил землепользования и застройки городского округа город Красноярск</w:t>
            </w:r>
          </w:p>
        </w:tc>
      </w:tr>
      <w:tr w:rsidR="00561285" w:rsidRPr="00561285" w:rsidTr="00561285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18 612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п. 1 х п. 5 настоящей таблицы</w:t>
            </w:r>
          </w:p>
        </w:tc>
      </w:tr>
      <w:tr w:rsidR="00561285" w:rsidRPr="00561285" w:rsidTr="00561285">
        <w:trPr>
          <w:trHeight w:hRule="exact" w:val="2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7</w:t>
            </w:r>
          </w:p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Средняя жилищная обеспеченность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кв. м/ 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 xml:space="preserve">Согласно </w:t>
            </w:r>
            <w:proofErr w:type="spellStart"/>
            <w:proofErr w:type="gramStart"/>
            <w:r w:rsidRPr="00561285">
              <w:rPr>
                <w:bCs/>
                <w:sz w:val="26"/>
                <w:szCs w:val="26"/>
              </w:rPr>
              <w:t>утвер</w:t>
            </w:r>
            <w:r>
              <w:rPr>
                <w:bCs/>
                <w:sz w:val="26"/>
                <w:szCs w:val="26"/>
              </w:rPr>
              <w:t>-</w:t>
            </w:r>
            <w:r w:rsidRPr="00561285">
              <w:rPr>
                <w:bCs/>
                <w:sz w:val="26"/>
                <w:szCs w:val="26"/>
              </w:rPr>
              <w:t>жденному</w:t>
            </w:r>
            <w:proofErr w:type="spellEnd"/>
            <w:proofErr w:type="gramEnd"/>
            <w:r w:rsidRPr="00561285">
              <w:rPr>
                <w:bCs/>
                <w:sz w:val="26"/>
                <w:szCs w:val="26"/>
              </w:rPr>
              <w:t xml:space="preserve"> Гене</w:t>
            </w:r>
            <w:r>
              <w:rPr>
                <w:bCs/>
                <w:sz w:val="26"/>
                <w:szCs w:val="26"/>
              </w:rPr>
              <w:t>-</w:t>
            </w:r>
            <w:proofErr w:type="spellStart"/>
            <w:r w:rsidRPr="00561285">
              <w:rPr>
                <w:bCs/>
                <w:sz w:val="26"/>
                <w:szCs w:val="26"/>
              </w:rPr>
              <w:t>ральному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плану городского округа город Красноярск (решение Красно</w:t>
            </w:r>
            <w:r>
              <w:rPr>
                <w:bCs/>
                <w:sz w:val="26"/>
                <w:szCs w:val="26"/>
              </w:rPr>
              <w:t>-</w:t>
            </w:r>
            <w:proofErr w:type="spellStart"/>
            <w:r w:rsidRPr="00561285">
              <w:rPr>
                <w:bCs/>
                <w:sz w:val="26"/>
                <w:szCs w:val="26"/>
              </w:rPr>
              <w:t>ярского</w:t>
            </w:r>
            <w:proofErr w:type="spellEnd"/>
            <w:r w:rsidRPr="00561285">
              <w:rPr>
                <w:bCs/>
                <w:sz w:val="26"/>
                <w:szCs w:val="26"/>
              </w:rPr>
              <w:t xml:space="preserve"> городского Совета депутатов от 13.03.2015 </w:t>
            </w:r>
            <w:r>
              <w:rPr>
                <w:bCs/>
                <w:sz w:val="26"/>
                <w:szCs w:val="26"/>
              </w:rPr>
              <w:t xml:space="preserve">       </w:t>
            </w:r>
            <w:r w:rsidRPr="00561285">
              <w:rPr>
                <w:bCs/>
                <w:sz w:val="26"/>
                <w:szCs w:val="26"/>
              </w:rPr>
              <w:t>№ 7-107)</w:t>
            </w:r>
          </w:p>
        </w:tc>
      </w:tr>
      <w:tr w:rsidR="00561285" w:rsidRPr="00561285" w:rsidTr="00561285">
        <w:trPr>
          <w:trHeight w:hRule="exact"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Расчетная численность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655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620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п. 6/п. 7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настоящей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таблицы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</w:p>
        </w:tc>
      </w:tr>
      <w:tr w:rsidR="00561285" w:rsidRPr="00561285" w:rsidTr="00561285">
        <w:trPr>
          <w:trHeight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proofErr w:type="gramStart"/>
            <w:r w:rsidRPr="00561285">
              <w:rPr>
                <w:sz w:val="26"/>
                <w:szCs w:val="26"/>
              </w:rPr>
              <w:t xml:space="preserve">Ориентировочное количество квартир (при среднем размере квартиры </w:t>
            </w:r>
            <w:proofErr w:type="gramEnd"/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квартира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п. 6/54 кв. м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настоящей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таблицы</w:t>
            </w:r>
          </w:p>
        </w:tc>
      </w:tr>
      <w:tr w:rsidR="00561285" w:rsidRPr="00561285" w:rsidTr="00561285">
        <w:trPr>
          <w:trHeight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bCs/>
                <w:sz w:val="26"/>
                <w:szCs w:val="26"/>
              </w:rPr>
            </w:pPr>
            <w:r w:rsidRPr="00561285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Расчетное </w:t>
            </w:r>
            <w:proofErr w:type="gramStart"/>
            <w:r w:rsidRPr="00561285">
              <w:rPr>
                <w:sz w:val="26"/>
                <w:szCs w:val="26"/>
              </w:rPr>
              <w:t>коли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61285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561285">
              <w:rPr>
                <w:sz w:val="26"/>
                <w:szCs w:val="26"/>
              </w:rPr>
              <w:t xml:space="preserve"> индивиду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61285">
              <w:rPr>
                <w:sz w:val="26"/>
                <w:szCs w:val="26"/>
              </w:rPr>
              <w:t>альных</w:t>
            </w:r>
            <w:proofErr w:type="spellEnd"/>
            <w:r w:rsidRPr="00561285">
              <w:rPr>
                <w:sz w:val="26"/>
                <w:szCs w:val="26"/>
              </w:rPr>
              <w:t xml:space="preserve"> легковых автомобилей               (из расчета одно </w:t>
            </w:r>
            <w:proofErr w:type="spellStart"/>
            <w:r w:rsidRPr="00561285">
              <w:rPr>
                <w:sz w:val="26"/>
                <w:szCs w:val="26"/>
              </w:rPr>
              <w:t>машино</w:t>
            </w:r>
            <w:proofErr w:type="spellEnd"/>
            <w:r w:rsidRPr="00561285">
              <w:rPr>
                <w:sz w:val="26"/>
                <w:szCs w:val="26"/>
              </w:rPr>
              <w:t xml:space="preserve">-место на квартиру)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3E7069" w:rsidP="0056128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</w:t>
            </w:r>
            <w:r w:rsidR="00561285" w:rsidRPr="00561285">
              <w:rPr>
                <w:sz w:val="26"/>
                <w:szCs w:val="26"/>
              </w:rPr>
              <w:t>нди</w:t>
            </w:r>
            <w:proofErr w:type="spellEnd"/>
            <w:r w:rsidR="00561285">
              <w:rPr>
                <w:sz w:val="26"/>
                <w:szCs w:val="26"/>
              </w:rPr>
              <w:t>-</w:t>
            </w:r>
            <w:r w:rsidR="00561285" w:rsidRPr="00561285">
              <w:rPr>
                <w:sz w:val="26"/>
                <w:szCs w:val="26"/>
              </w:rPr>
              <w:t>виду</w:t>
            </w:r>
            <w:r w:rsidR="00561285">
              <w:rPr>
                <w:sz w:val="26"/>
                <w:szCs w:val="26"/>
              </w:rPr>
              <w:t>-</w:t>
            </w:r>
            <w:proofErr w:type="spellStart"/>
            <w:r w:rsidR="00561285" w:rsidRPr="00561285">
              <w:rPr>
                <w:sz w:val="26"/>
                <w:szCs w:val="26"/>
              </w:rPr>
              <w:t>альный</w:t>
            </w:r>
            <w:proofErr w:type="spellEnd"/>
            <w:r w:rsidR="00561285" w:rsidRPr="00561285">
              <w:rPr>
                <w:sz w:val="26"/>
                <w:szCs w:val="26"/>
              </w:rPr>
              <w:t xml:space="preserve"> легковой </w:t>
            </w:r>
          </w:p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</w:t>
            </w:r>
            <w:r w:rsidRPr="00561285">
              <w:rPr>
                <w:sz w:val="26"/>
                <w:szCs w:val="26"/>
              </w:rPr>
              <w:t>втомо</w:t>
            </w:r>
            <w:r>
              <w:rPr>
                <w:sz w:val="26"/>
                <w:szCs w:val="26"/>
              </w:rPr>
              <w:t>-</w:t>
            </w:r>
            <w:r w:rsidRPr="00561285">
              <w:rPr>
                <w:sz w:val="26"/>
                <w:szCs w:val="26"/>
              </w:rPr>
              <w:t>биль</w:t>
            </w:r>
            <w:proofErr w:type="spellEnd"/>
            <w:proofErr w:type="gramEnd"/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jc w:val="center"/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345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п. 10 = п. 9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 xml:space="preserve">настоящей </w:t>
            </w:r>
          </w:p>
          <w:p w:rsidR="00561285" w:rsidRPr="00561285" w:rsidRDefault="00561285" w:rsidP="00561285">
            <w:pPr>
              <w:rPr>
                <w:sz w:val="26"/>
                <w:szCs w:val="26"/>
              </w:rPr>
            </w:pPr>
            <w:r w:rsidRPr="00561285">
              <w:rPr>
                <w:sz w:val="26"/>
                <w:szCs w:val="26"/>
              </w:rPr>
              <w:t>таблицы</w:t>
            </w:r>
          </w:p>
        </w:tc>
      </w:tr>
    </w:tbl>
    <w:p w:rsidR="00F52AE0" w:rsidRDefault="00F52AE0" w:rsidP="00F52AE0">
      <w:pPr>
        <w:ind w:firstLine="709"/>
        <w:rPr>
          <w:bCs/>
          <w:sz w:val="26"/>
          <w:szCs w:val="26"/>
        </w:rPr>
      </w:pPr>
    </w:p>
    <w:p w:rsidR="00561285" w:rsidRPr="00561285" w:rsidRDefault="00561285" w:rsidP="00F52AE0">
      <w:pPr>
        <w:ind w:firstLine="709"/>
        <w:rPr>
          <w:bCs/>
          <w:sz w:val="26"/>
          <w:szCs w:val="26"/>
        </w:rPr>
      </w:pPr>
      <w:r w:rsidRPr="00561285">
        <w:rPr>
          <w:bCs/>
          <w:sz w:val="26"/>
          <w:szCs w:val="26"/>
        </w:rPr>
        <w:t>Примечания:</w:t>
      </w:r>
    </w:p>
    <w:p w:rsidR="00561285" w:rsidRPr="00561285" w:rsidRDefault="00561285" w:rsidP="00F52AE0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1. В соответствии со ст. 17.1 «</w:t>
      </w:r>
      <w:proofErr w:type="spellStart"/>
      <w:r w:rsidRPr="00561285">
        <w:rPr>
          <w:sz w:val="26"/>
          <w:szCs w:val="26"/>
        </w:rPr>
        <w:t>Подзона</w:t>
      </w:r>
      <w:proofErr w:type="spellEnd"/>
      <w:r w:rsidRPr="00561285">
        <w:rPr>
          <w:sz w:val="26"/>
          <w:szCs w:val="26"/>
        </w:rPr>
        <w:t xml:space="preserve"> застройки многоэтажными жилыми домами (Ж-4-1)» Правил землепользования и застройки городского округа город Красноярск в состав основных видов разрешенного использования включена многоэтажная жилая застройка (высотная застройка) (код-2.6).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 540 описание кода 2.6 - жилые дома высотой девять и выше этажей.</w:t>
      </w:r>
    </w:p>
    <w:p w:rsidR="00561285" w:rsidRPr="00561285" w:rsidRDefault="00561285" w:rsidP="00F52AE0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561285" w:rsidRPr="00561285" w:rsidRDefault="00561285" w:rsidP="00F52AE0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2. Общая площадь жилых помещений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561285" w:rsidRPr="00561285" w:rsidRDefault="00561285" w:rsidP="00F52AE0">
      <w:pPr>
        <w:ind w:firstLine="709"/>
        <w:jc w:val="both"/>
        <w:rPr>
          <w:bCs/>
          <w:sz w:val="26"/>
          <w:szCs w:val="26"/>
        </w:rPr>
      </w:pPr>
      <w:r w:rsidRPr="00561285">
        <w:rPr>
          <w:bCs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</w:t>
      </w:r>
      <w:proofErr w:type="spellStart"/>
      <w:r w:rsidRPr="00561285">
        <w:rPr>
          <w:bCs/>
          <w:sz w:val="26"/>
          <w:szCs w:val="26"/>
        </w:rPr>
        <w:t>кв</w:t>
      </w:r>
      <w:proofErr w:type="gramStart"/>
      <w:r w:rsidRPr="00561285">
        <w:rPr>
          <w:bCs/>
          <w:sz w:val="26"/>
          <w:szCs w:val="26"/>
        </w:rPr>
        <w:t>.м</w:t>
      </w:r>
      <w:proofErr w:type="spellEnd"/>
      <w:proofErr w:type="gramEnd"/>
      <w:r w:rsidRPr="00561285">
        <w:rPr>
          <w:bCs/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F52AE0" w:rsidRDefault="00F52AE0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 xml:space="preserve">РАСЧЕТНЫЕ ПОКАЗАТЕЛИ </w:t>
      </w:r>
    </w:p>
    <w:p w:rsid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>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F52AE0" w:rsidRPr="00561285" w:rsidRDefault="00F52AE0" w:rsidP="00561285">
      <w:pPr>
        <w:jc w:val="center"/>
        <w:rPr>
          <w:sz w:val="26"/>
          <w:szCs w:val="26"/>
          <w:u w:val="single"/>
        </w:rPr>
      </w:pPr>
    </w:p>
    <w:tbl>
      <w:tblPr>
        <w:tblStyle w:val="ae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1597"/>
        <w:gridCol w:w="1216"/>
        <w:gridCol w:w="1216"/>
        <w:gridCol w:w="1216"/>
        <w:gridCol w:w="1597"/>
      </w:tblGrid>
      <w:tr w:rsidR="00561285" w:rsidRPr="00561285" w:rsidTr="00561285">
        <w:trPr>
          <w:jc w:val="center"/>
        </w:trPr>
        <w:tc>
          <w:tcPr>
            <w:tcW w:w="675" w:type="dxa"/>
            <w:vMerge w:val="restart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№ </w:t>
            </w:r>
            <w:proofErr w:type="gramStart"/>
            <w:r w:rsidRPr="00561285">
              <w:t>п</w:t>
            </w:r>
            <w:proofErr w:type="gramEnd"/>
            <w:r w:rsidRPr="00561285">
              <w:t>/п</w:t>
            </w:r>
          </w:p>
        </w:tc>
        <w:tc>
          <w:tcPr>
            <w:tcW w:w="1947" w:type="dxa"/>
            <w:vMerge w:val="restart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Наименование вида объекта</w:t>
            </w:r>
          </w:p>
        </w:tc>
        <w:tc>
          <w:tcPr>
            <w:tcW w:w="1597" w:type="dxa"/>
            <w:vMerge w:val="restart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Нормативный показатель</w:t>
            </w:r>
          </w:p>
        </w:tc>
        <w:tc>
          <w:tcPr>
            <w:tcW w:w="3648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Расчетный показатель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минимально допустимого уровня обеспеченности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территории объектами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социальной инфраструктуры</w:t>
            </w:r>
          </w:p>
        </w:tc>
        <w:tc>
          <w:tcPr>
            <w:tcW w:w="1597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Расчетный показатель </w:t>
            </w:r>
            <w:proofErr w:type="spellStart"/>
            <w:proofErr w:type="gramStart"/>
            <w:r w:rsidRPr="00561285">
              <w:t>максималь</w:t>
            </w:r>
            <w:proofErr w:type="spellEnd"/>
            <w:r w:rsidRPr="00561285">
              <w:t>-но</w:t>
            </w:r>
            <w:proofErr w:type="gramEnd"/>
            <w:r w:rsidRPr="00561285">
              <w:t xml:space="preserve"> </w:t>
            </w:r>
            <w:proofErr w:type="spellStart"/>
            <w:r w:rsidRPr="00561285">
              <w:t>допу</w:t>
            </w:r>
            <w:r w:rsidR="00F52AE0">
              <w:t>-</w:t>
            </w:r>
            <w:r w:rsidRPr="00561285">
              <w:t>стимого</w:t>
            </w:r>
            <w:proofErr w:type="spellEnd"/>
            <w:r w:rsidRPr="00561285">
              <w:t xml:space="preserve"> уровня тер-</w:t>
            </w:r>
            <w:proofErr w:type="spellStart"/>
            <w:r w:rsidRPr="00561285">
              <w:t>риториаль</w:t>
            </w:r>
            <w:proofErr w:type="spellEnd"/>
            <w:r w:rsidRPr="00561285">
              <w:t>-ной доступ-</w:t>
            </w:r>
            <w:proofErr w:type="spellStart"/>
            <w:r w:rsidRPr="00561285">
              <w:t>ности</w:t>
            </w:r>
            <w:proofErr w:type="spellEnd"/>
            <w:r w:rsidRPr="00561285">
              <w:t xml:space="preserve"> </w:t>
            </w:r>
            <w:proofErr w:type="spellStart"/>
            <w:r w:rsidRPr="00561285">
              <w:t>объ</w:t>
            </w:r>
            <w:r w:rsidR="00F52AE0">
              <w:t>-</w:t>
            </w:r>
            <w:r w:rsidRPr="00561285">
              <w:t>ектов</w:t>
            </w:r>
            <w:proofErr w:type="spellEnd"/>
            <w:r w:rsidRPr="00561285">
              <w:t xml:space="preserve"> </w:t>
            </w:r>
            <w:proofErr w:type="spellStart"/>
            <w:r w:rsidRPr="00561285">
              <w:t>соци-альной</w:t>
            </w:r>
            <w:proofErr w:type="spellEnd"/>
            <w:r w:rsidRPr="00561285">
              <w:t xml:space="preserve"> ин-</w:t>
            </w:r>
            <w:proofErr w:type="spellStart"/>
            <w:r w:rsidRPr="00561285">
              <w:t>фраструк</w:t>
            </w:r>
            <w:proofErr w:type="spellEnd"/>
            <w:r w:rsidRPr="00561285">
              <w:t>-туры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94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59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216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1</w:t>
            </w:r>
          </w:p>
        </w:tc>
        <w:tc>
          <w:tcPr>
            <w:tcW w:w="1216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2</w:t>
            </w:r>
          </w:p>
        </w:tc>
        <w:tc>
          <w:tcPr>
            <w:tcW w:w="1216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3</w:t>
            </w:r>
          </w:p>
        </w:tc>
        <w:tc>
          <w:tcPr>
            <w:tcW w:w="1597" w:type="dxa"/>
            <w:vMerge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</w:t>
            </w:r>
          </w:p>
        </w:tc>
        <w:tc>
          <w:tcPr>
            <w:tcW w:w="8789" w:type="dxa"/>
            <w:gridSpan w:val="6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t>Объекты учебно-образовательного назначения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1.1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 xml:space="preserve">Дошкольные </w:t>
            </w:r>
            <w:proofErr w:type="gramStart"/>
            <w:r w:rsidRPr="00561285">
              <w:t>образователь</w:t>
            </w:r>
            <w:r w:rsidR="001A6235">
              <w:t>-</w:t>
            </w:r>
            <w:proofErr w:type="spellStart"/>
            <w:r w:rsidRPr="00561285">
              <w:t>ные</w:t>
            </w:r>
            <w:proofErr w:type="spellEnd"/>
            <w:proofErr w:type="gramEnd"/>
            <w:r w:rsidRPr="00561285">
              <w:t xml:space="preserve"> </w:t>
            </w:r>
            <w:proofErr w:type="spellStart"/>
            <w:r w:rsidRPr="00561285">
              <w:t>организа</w:t>
            </w:r>
            <w:r w:rsidR="001A6235">
              <w:t>-</w:t>
            </w:r>
            <w:r w:rsidRPr="00561285">
              <w:t>ции</w:t>
            </w:r>
            <w:proofErr w:type="spellEnd"/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62 мест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на 1000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человек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48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41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38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–300 м/5 мин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1.2</w:t>
            </w:r>
          </w:p>
        </w:tc>
        <w:tc>
          <w:tcPr>
            <w:tcW w:w="1947" w:type="dxa"/>
          </w:tcPr>
          <w:p w:rsidR="00561285" w:rsidRPr="00561285" w:rsidRDefault="00561285" w:rsidP="001A6235">
            <w:proofErr w:type="spellStart"/>
            <w:proofErr w:type="gramStart"/>
            <w:r w:rsidRPr="00561285">
              <w:t>Общеобразова</w:t>
            </w:r>
            <w:proofErr w:type="spellEnd"/>
            <w:r w:rsidR="001A6235">
              <w:t>-</w:t>
            </w:r>
            <w:r w:rsidRPr="00561285">
              <w:t>тельные</w:t>
            </w:r>
            <w:proofErr w:type="gramEnd"/>
            <w:r w:rsidRPr="00561285">
              <w:t xml:space="preserve"> </w:t>
            </w:r>
            <w:proofErr w:type="spellStart"/>
            <w:r w:rsidRPr="00561285">
              <w:t>орга</w:t>
            </w:r>
            <w:r w:rsidR="001A6235">
              <w:t>-</w:t>
            </w:r>
            <w:r w:rsidRPr="00561285">
              <w:t>низации</w:t>
            </w:r>
            <w:proofErr w:type="spellEnd"/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93 мест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на 1000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человек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73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62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места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58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мест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–300 м/5 мин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2</w:t>
            </w:r>
          </w:p>
        </w:tc>
        <w:tc>
          <w:tcPr>
            <w:tcW w:w="8789" w:type="dxa"/>
            <w:gridSpan w:val="6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Объекты здравоохранения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2.1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>Лечебно-про-</w:t>
            </w:r>
            <w:proofErr w:type="spellStart"/>
            <w:r w:rsidRPr="00561285">
              <w:t>филактические</w:t>
            </w:r>
            <w:proofErr w:type="spellEnd"/>
            <w:r w:rsidRPr="00561285">
              <w:t xml:space="preserve"> медицинские организации, оказывающие медицинскую помощь в </w:t>
            </w:r>
            <w:proofErr w:type="spellStart"/>
            <w:proofErr w:type="gramStart"/>
            <w:r w:rsidRPr="00561285">
              <w:t>ам</w:t>
            </w:r>
            <w:r w:rsidR="001A6235">
              <w:t>-</w:t>
            </w:r>
            <w:r w:rsidRPr="00561285">
              <w:t>булаторных</w:t>
            </w:r>
            <w:proofErr w:type="spellEnd"/>
            <w:proofErr w:type="gramEnd"/>
            <w:r w:rsidRPr="00561285">
              <w:t xml:space="preserve"> условиях</w:t>
            </w:r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>18,15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посещений в смену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 xml:space="preserve">на 1000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человек</w:t>
            </w:r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14 </w:t>
            </w:r>
          </w:p>
          <w:p w:rsidR="00561285" w:rsidRPr="00561285" w:rsidRDefault="00C26E1E" w:rsidP="00561285">
            <w:pPr>
              <w:jc w:val="center"/>
            </w:pPr>
            <w:proofErr w:type="spellStart"/>
            <w:proofErr w:type="gramStart"/>
            <w:r>
              <w:t>п</w:t>
            </w:r>
            <w:r w:rsidR="00561285" w:rsidRPr="00561285">
              <w:t>осеще</w:t>
            </w:r>
            <w:r>
              <w:t>-</w:t>
            </w:r>
            <w:r w:rsidR="00561285" w:rsidRPr="00561285">
              <w:t>ний</w:t>
            </w:r>
            <w:proofErr w:type="spellEnd"/>
            <w:proofErr w:type="gramEnd"/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12 </w:t>
            </w:r>
          </w:p>
          <w:p w:rsidR="00561285" w:rsidRPr="00561285" w:rsidRDefault="00C26E1E" w:rsidP="00561285">
            <w:pPr>
              <w:jc w:val="center"/>
            </w:pPr>
            <w:proofErr w:type="spellStart"/>
            <w:proofErr w:type="gramStart"/>
            <w:r>
              <w:t>п</w:t>
            </w:r>
            <w:r w:rsidR="00561285" w:rsidRPr="00561285">
              <w:t>осеще</w:t>
            </w:r>
            <w:r>
              <w:t>-</w:t>
            </w:r>
            <w:r w:rsidR="00561285" w:rsidRPr="00561285">
              <w:t>ний</w:t>
            </w:r>
            <w:proofErr w:type="spellEnd"/>
            <w:proofErr w:type="gramEnd"/>
          </w:p>
        </w:tc>
        <w:tc>
          <w:tcPr>
            <w:tcW w:w="1216" w:type="dxa"/>
          </w:tcPr>
          <w:p w:rsidR="00561285" w:rsidRPr="00561285" w:rsidRDefault="00561285" w:rsidP="00561285">
            <w:pPr>
              <w:jc w:val="center"/>
            </w:pPr>
            <w:r w:rsidRPr="00561285">
              <w:t>11</w:t>
            </w:r>
          </w:p>
          <w:p w:rsidR="00561285" w:rsidRPr="00561285" w:rsidRDefault="00C26E1E" w:rsidP="00561285">
            <w:pPr>
              <w:jc w:val="center"/>
            </w:pPr>
            <w:proofErr w:type="spellStart"/>
            <w:proofErr w:type="gramStart"/>
            <w:r>
              <w:t>п</w:t>
            </w:r>
            <w:r w:rsidR="00561285" w:rsidRPr="00561285">
              <w:t>осеще</w:t>
            </w:r>
            <w:r>
              <w:t>-</w:t>
            </w:r>
            <w:r w:rsidR="00561285" w:rsidRPr="00561285">
              <w:t>ний</w:t>
            </w:r>
            <w:proofErr w:type="spellEnd"/>
            <w:proofErr w:type="gramEnd"/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–1000 м/</w:t>
            </w:r>
          </w:p>
          <w:p w:rsidR="00561285" w:rsidRPr="00561285" w:rsidRDefault="00561285" w:rsidP="001A6235">
            <w:r w:rsidRPr="00561285">
              <w:t xml:space="preserve">от 10 до </w:t>
            </w:r>
          </w:p>
          <w:p w:rsidR="00561285" w:rsidRPr="00561285" w:rsidRDefault="00561285" w:rsidP="001A6235">
            <w:r w:rsidRPr="00561285">
              <w:t>20 мин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3</w:t>
            </w:r>
          </w:p>
        </w:tc>
        <w:tc>
          <w:tcPr>
            <w:tcW w:w="8789" w:type="dxa"/>
            <w:gridSpan w:val="6"/>
            <w:vAlign w:val="center"/>
          </w:tcPr>
          <w:p w:rsidR="00561285" w:rsidRPr="00561285" w:rsidRDefault="00561285" w:rsidP="00561285">
            <w:pPr>
              <w:jc w:val="center"/>
            </w:pPr>
            <w:r w:rsidRPr="00561285">
              <w:t>Объекты спортивного назначения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3.1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 xml:space="preserve">Помещения для физкультурных занятий и </w:t>
            </w:r>
            <w:proofErr w:type="spellStart"/>
            <w:proofErr w:type="gramStart"/>
            <w:r w:rsidRPr="00561285">
              <w:t>трени</w:t>
            </w:r>
            <w:r w:rsidR="001A6235">
              <w:t>-</w:t>
            </w:r>
            <w:r w:rsidRPr="00561285">
              <w:t>ровок</w:t>
            </w:r>
            <w:proofErr w:type="spellEnd"/>
            <w:proofErr w:type="gramEnd"/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80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</w:t>
            </w:r>
            <w:proofErr w:type="spellStart"/>
            <w:r w:rsidRPr="00561285">
              <w:t>пло</w:t>
            </w:r>
            <w:proofErr w:type="spellEnd"/>
            <w:r w:rsidRPr="00561285">
              <w:t>-щади на 1000 человек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63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53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50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 500 м</w:t>
            </w:r>
          </w:p>
        </w:tc>
      </w:tr>
      <w:tr w:rsidR="00561285" w:rsidRPr="00561285" w:rsidTr="00561285">
        <w:trPr>
          <w:jc w:val="center"/>
        </w:trPr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3.2</w:t>
            </w:r>
          </w:p>
        </w:tc>
        <w:tc>
          <w:tcPr>
            <w:tcW w:w="1947" w:type="dxa"/>
          </w:tcPr>
          <w:p w:rsidR="00561285" w:rsidRPr="00561285" w:rsidRDefault="00561285" w:rsidP="001A6235">
            <w:r w:rsidRPr="00561285">
              <w:t>Физкультурно-спортивные залы</w:t>
            </w:r>
          </w:p>
        </w:tc>
        <w:tc>
          <w:tcPr>
            <w:tcW w:w="1597" w:type="dxa"/>
          </w:tcPr>
          <w:p w:rsidR="00561285" w:rsidRPr="00561285" w:rsidRDefault="00561285" w:rsidP="00561285">
            <w:pPr>
              <w:jc w:val="center"/>
            </w:pPr>
            <w:r w:rsidRPr="00561285">
              <w:t>350 кв. м общей площади на 1000 человек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274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233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t xml:space="preserve"> общей площади</w:t>
            </w:r>
          </w:p>
        </w:tc>
        <w:tc>
          <w:tcPr>
            <w:tcW w:w="1216" w:type="dxa"/>
          </w:tcPr>
          <w:p w:rsidR="00561285" w:rsidRPr="00561285" w:rsidRDefault="00561285" w:rsidP="00C26E1E">
            <w:pPr>
              <w:jc w:val="center"/>
            </w:pPr>
            <w:r w:rsidRPr="00561285">
              <w:t xml:space="preserve">217 </w:t>
            </w:r>
            <w:proofErr w:type="spellStart"/>
            <w:r w:rsidRPr="00561285">
              <w:t>кв</w:t>
            </w:r>
            <w:proofErr w:type="gramStart"/>
            <w:r w:rsidRPr="00561285">
              <w:t>.м</w:t>
            </w:r>
            <w:proofErr w:type="spellEnd"/>
            <w:proofErr w:type="gramEnd"/>
            <w:r w:rsidRPr="00561285">
              <w:rPr>
                <w:vertAlign w:val="superscript"/>
              </w:rPr>
              <w:t xml:space="preserve"> </w:t>
            </w:r>
            <w:r w:rsidRPr="00561285">
              <w:t>общей площади</w:t>
            </w:r>
          </w:p>
        </w:tc>
        <w:tc>
          <w:tcPr>
            <w:tcW w:w="1597" w:type="dxa"/>
          </w:tcPr>
          <w:p w:rsidR="00561285" w:rsidRPr="00561285" w:rsidRDefault="00561285" w:rsidP="001A6235">
            <w:r w:rsidRPr="00561285">
              <w:t>пешеходная доступность – 1300 м/</w:t>
            </w:r>
          </w:p>
          <w:p w:rsidR="00561285" w:rsidRPr="00561285" w:rsidRDefault="00561285" w:rsidP="001A6235">
            <w:r w:rsidRPr="00561285">
              <w:t>30 мин</w:t>
            </w:r>
          </w:p>
        </w:tc>
      </w:tr>
    </w:tbl>
    <w:p w:rsidR="001A6235" w:rsidRDefault="001A6235" w:rsidP="001A6235">
      <w:pPr>
        <w:ind w:firstLine="709"/>
        <w:jc w:val="both"/>
        <w:rPr>
          <w:sz w:val="26"/>
          <w:szCs w:val="26"/>
        </w:rPr>
      </w:pPr>
    </w:p>
    <w:p w:rsidR="00561285" w:rsidRPr="00561285" w:rsidRDefault="00561285" w:rsidP="001A6235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 xml:space="preserve">Примечание: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город Красноярск по данным </w:t>
      </w:r>
      <w:proofErr w:type="spellStart"/>
      <w:r w:rsidRPr="00561285">
        <w:rPr>
          <w:sz w:val="26"/>
          <w:szCs w:val="26"/>
        </w:rPr>
        <w:t>Красноярскстата</w:t>
      </w:r>
      <w:proofErr w:type="spellEnd"/>
      <w:r w:rsidRPr="00561285">
        <w:rPr>
          <w:sz w:val="26"/>
          <w:szCs w:val="26"/>
        </w:rPr>
        <w:t xml:space="preserve"> на 01.01.2017. Нормативы обеспеченности другими объектами социальной инфраструктуры приняты в соответствии с РНГП Красноярского края.</w:t>
      </w:r>
    </w:p>
    <w:p w:rsidR="00561285" w:rsidRPr="00561285" w:rsidRDefault="00561285" w:rsidP="001A6235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>В соответствии с п. 10.5 СП 42.13330.2011 «СНиП 2.07.01-89* Градостроительство. Планировка и застройка городских и сельских поселений» 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 xml:space="preserve">РАСЧЕТНЫЕ ПОКАЗАТЕЛИ 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>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134"/>
        <w:gridCol w:w="1134"/>
        <w:gridCol w:w="1134"/>
        <w:gridCol w:w="1701"/>
      </w:tblGrid>
      <w:tr w:rsidR="00561285" w:rsidRPr="00561285" w:rsidTr="00561285">
        <w:tc>
          <w:tcPr>
            <w:tcW w:w="675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№ </w:t>
            </w:r>
            <w:proofErr w:type="gramStart"/>
            <w:r w:rsidRPr="00561285">
              <w:t>п</w:t>
            </w:r>
            <w:proofErr w:type="gramEnd"/>
            <w:r w:rsidRPr="00561285">
              <w:t>/п</w:t>
            </w:r>
          </w:p>
        </w:tc>
        <w:tc>
          <w:tcPr>
            <w:tcW w:w="2127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>Наименование вида объекта</w:t>
            </w:r>
          </w:p>
        </w:tc>
        <w:tc>
          <w:tcPr>
            <w:tcW w:w="1559" w:type="dxa"/>
            <w:vMerge w:val="restart"/>
          </w:tcPr>
          <w:p w:rsidR="00561285" w:rsidRPr="00561285" w:rsidRDefault="00561285" w:rsidP="00561285">
            <w:pPr>
              <w:jc w:val="center"/>
            </w:pPr>
            <w:proofErr w:type="gramStart"/>
            <w:r w:rsidRPr="00561285">
              <w:t>Норматив</w:t>
            </w:r>
            <w:r w:rsidR="001E6B90">
              <w:t>-</w:t>
            </w:r>
            <w:proofErr w:type="spellStart"/>
            <w:r w:rsidRPr="00561285">
              <w:t>ный</w:t>
            </w:r>
            <w:proofErr w:type="spellEnd"/>
            <w:proofErr w:type="gramEnd"/>
            <w:r w:rsidRPr="00561285">
              <w:t xml:space="preserve"> пока</w:t>
            </w:r>
            <w:r w:rsidR="001E6B90">
              <w:t>-</w:t>
            </w:r>
            <w:proofErr w:type="spellStart"/>
            <w:r w:rsidRPr="00561285">
              <w:t>затель</w:t>
            </w:r>
            <w:proofErr w:type="spellEnd"/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(</w:t>
            </w:r>
            <w:proofErr w:type="spellStart"/>
            <w:r w:rsidRPr="00561285">
              <w:t>машино</w:t>
            </w:r>
            <w:proofErr w:type="spellEnd"/>
            <w:r w:rsidRPr="00561285">
              <w:t>-мест)</w:t>
            </w:r>
          </w:p>
        </w:tc>
        <w:tc>
          <w:tcPr>
            <w:tcW w:w="1701" w:type="dxa"/>
            <w:vMerge w:val="restart"/>
          </w:tcPr>
          <w:p w:rsidR="00561285" w:rsidRPr="00561285" w:rsidRDefault="00561285" w:rsidP="001E6B90">
            <w:pPr>
              <w:jc w:val="center"/>
            </w:pPr>
            <w:r w:rsidRPr="00561285">
              <w:t xml:space="preserve">Расчетный показатель максимально допустимого уровня </w:t>
            </w:r>
            <w:proofErr w:type="gramStart"/>
            <w:r w:rsidRPr="00561285">
              <w:t>тер</w:t>
            </w:r>
            <w:r w:rsidR="001E6B90">
              <w:t>-</w:t>
            </w:r>
            <w:proofErr w:type="spellStart"/>
            <w:r w:rsidRPr="00561285">
              <w:t>риториальной</w:t>
            </w:r>
            <w:proofErr w:type="spellEnd"/>
            <w:proofErr w:type="gramEnd"/>
            <w:r w:rsidRPr="00561285">
              <w:t xml:space="preserve"> доступности объектов транспортной </w:t>
            </w:r>
            <w:proofErr w:type="spellStart"/>
            <w:r w:rsidRPr="00561285">
              <w:t>инфраструк</w:t>
            </w:r>
            <w:proofErr w:type="spellEnd"/>
            <w:r w:rsidR="001E6B90">
              <w:t>-</w:t>
            </w:r>
            <w:r w:rsidRPr="00561285">
              <w:t>туры</w:t>
            </w:r>
          </w:p>
        </w:tc>
      </w:tr>
      <w:tr w:rsidR="00561285" w:rsidRPr="00561285" w:rsidTr="00561285">
        <w:tc>
          <w:tcPr>
            <w:tcW w:w="675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212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559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1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2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3</w:t>
            </w:r>
          </w:p>
        </w:tc>
        <w:tc>
          <w:tcPr>
            <w:tcW w:w="1701" w:type="dxa"/>
            <w:vMerge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</w:p>
        </w:tc>
      </w:tr>
      <w:tr w:rsidR="00561285" w:rsidRPr="00561285" w:rsidTr="00561285"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1</w:t>
            </w:r>
          </w:p>
        </w:tc>
        <w:tc>
          <w:tcPr>
            <w:tcW w:w="2127" w:type="dxa"/>
          </w:tcPr>
          <w:p w:rsidR="00561285" w:rsidRPr="00561285" w:rsidRDefault="00561285" w:rsidP="001E6B90">
            <w:r w:rsidRPr="00561285">
              <w:t xml:space="preserve">Гаражи и </w:t>
            </w:r>
            <w:proofErr w:type="spellStart"/>
            <w:r w:rsidRPr="00561285">
              <w:t>откры</w:t>
            </w:r>
            <w:r w:rsidR="001E6B90">
              <w:t>-</w:t>
            </w:r>
            <w:r w:rsidRPr="00561285">
              <w:t>тые</w:t>
            </w:r>
            <w:proofErr w:type="spellEnd"/>
            <w:r w:rsidRPr="00561285">
              <w:t xml:space="preserve"> стоянки для </w:t>
            </w:r>
            <w:proofErr w:type="gramStart"/>
            <w:r w:rsidRPr="00561285">
              <w:t>постоянного</w:t>
            </w:r>
            <w:proofErr w:type="gramEnd"/>
            <w:r w:rsidRPr="00561285">
              <w:t xml:space="preserve"> </w:t>
            </w:r>
            <w:proofErr w:type="spellStart"/>
            <w:r w:rsidRPr="00561285">
              <w:t>хра</w:t>
            </w:r>
            <w:proofErr w:type="spellEnd"/>
            <w:r w:rsidR="001E6B90">
              <w:t>-</w:t>
            </w:r>
            <w:r w:rsidRPr="00561285">
              <w:t>нения легковых автомобилей</w:t>
            </w:r>
          </w:p>
        </w:tc>
        <w:tc>
          <w:tcPr>
            <w:tcW w:w="1559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90% расчетного числа </w:t>
            </w:r>
            <w:proofErr w:type="spellStart"/>
            <w:proofErr w:type="gramStart"/>
            <w:r w:rsidRPr="00561285">
              <w:t>инди</w:t>
            </w:r>
            <w:r w:rsidR="001E6B90">
              <w:t>-</w:t>
            </w:r>
            <w:r w:rsidRPr="00561285">
              <w:t>видуальных</w:t>
            </w:r>
            <w:proofErr w:type="spellEnd"/>
            <w:proofErr w:type="gramEnd"/>
            <w:r w:rsidRPr="00561285"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311</w:t>
            </w:r>
          </w:p>
        </w:tc>
        <w:tc>
          <w:tcPr>
            <w:tcW w:w="1701" w:type="dxa"/>
          </w:tcPr>
          <w:p w:rsidR="00561285" w:rsidRPr="00561285" w:rsidRDefault="00561285" w:rsidP="001E6B90">
            <w:r w:rsidRPr="00561285">
              <w:t xml:space="preserve">пешеходная доступность </w:t>
            </w:r>
          </w:p>
          <w:p w:rsidR="00561285" w:rsidRPr="00561285" w:rsidRDefault="00561285" w:rsidP="001E6B90">
            <w:r w:rsidRPr="00561285">
              <w:t>– 1500 м</w:t>
            </w:r>
          </w:p>
        </w:tc>
      </w:tr>
      <w:tr w:rsidR="00561285" w:rsidRPr="00561285" w:rsidTr="00561285"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2</w:t>
            </w:r>
          </w:p>
        </w:tc>
        <w:tc>
          <w:tcPr>
            <w:tcW w:w="2127" w:type="dxa"/>
          </w:tcPr>
          <w:p w:rsidR="001E6B90" w:rsidRDefault="00561285" w:rsidP="001E6B90">
            <w:r w:rsidRPr="00561285">
              <w:t>Открытые сто</w:t>
            </w:r>
            <w:r w:rsidR="001E6B90">
              <w:t>-</w:t>
            </w:r>
            <w:r w:rsidRPr="00561285">
              <w:t>янки для времен</w:t>
            </w:r>
            <w:r w:rsidR="001E6B90">
              <w:t>-</w:t>
            </w:r>
            <w:proofErr w:type="spellStart"/>
            <w:r w:rsidRPr="00561285">
              <w:t>ного</w:t>
            </w:r>
            <w:proofErr w:type="spellEnd"/>
            <w:r w:rsidRPr="00561285">
              <w:t xml:space="preserve"> хранения </w:t>
            </w:r>
            <w:proofErr w:type="gramStart"/>
            <w:r w:rsidRPr="00561285">
              <w:t>легковых</w:t>
            </w:r>
            <w:proofErr w:type="gramEnd"/>
            <w:r w:rsidRPr="00561285">
              <w:t xml:space="preserve"> авто</w:t>
            </w:r>
            <w:r w:rsidR="001E6B90">
              <w:t>-</w:t>
            </w:r>
            <w:proofErr w:type="spellStart"/>
            <w:r w:rsidRPr="00561285">
              <w:t>мобилей</w:t>
            </w:r>
            <w:proofErr w:type="spellEnd"/>
            <w:r w:rsidRPr="00561285">
              <w:t xml:space="preserve">, </w:t>
            </w:r>
          </w:p>
          <w:p w:rsidR="00561285" w:rsidRPr="00561285" w:rsidRDefault="00561285" w:rsidP="001E6B90">
            <w:r w:rsidRPr="00561285">
              <w:t xml:space="preserve">всего, в </w:t>
            </w:r>
            <w:proofErr w:type="spellStart"/>
            <w:r w:rsidRPr="00561285">
              <w:t>т.ч</w:t>
            </w:r>
            <w:proofErr w:type="spellEnd"/>
            <w:r w:rsidRPr="00561285">
              <w:t>.:</w:t>
            </w:r>
          </w:p>
        </w:tc>
        <w:tc>
          <w:tcPr>
            <w:tcW w:w="1559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70% расчетного парка </w:t>
            </w:r>
            <w:proofErr w:type="spellStart"/>
            <w:proofErr w:type="gramStart"/>
            <w:r w:rsidRPr="00561285">
              <w:t>инди</w:t>
            </w:r>
            <w:r w:rsidR="001E6B90">
              <w:t>-</w:t>
            </w:r>
            <w:r w:rsidRPr="00561285">
              <w:t>видуальных</w:t>
            </w:r>
            <w:proofErr w:type="spellEnd"/>
            <w:proofErr w:type="gramEnd"/>
            <w:r w:rsidRPr="00561285"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242</w:t>
            </w:r>
          </w:p>
        </w:tc>
        <w:tc>
          <w:tcPr>
            <w:tcW w:w="1701" w:type="dxa"/>
          </w:tcPr>
          <w:p w:rsidR="00561285" w:rsidRPr="00561285" w:rsidRDefault="00561285" w:rsidP="001E6B90">
            <w:r w:rsidRPr="00561285">
              <w:t xml:space="preserve">не </w:t>
            </w:r>
            <w:proofErr w:type="gramStart"/>
            <w:r w:rsidRPr="00561285">
              <w:t>установлен</w:t>
            </w:r>
            <w:proofErr w:type="gramEnd"/>
          </w:p>
        </w:tc>
      </w:tr>
      <w:tr w:rsidR="00561285" w:rsidRPr="00561285" w:rsidTr="00561285">
        <w:tc>
          <w:tcPr>
            <w:tcW w:w="675" w:type="dxa"/>
          </w:tcPr>
          <w:p w:rsidR="00561285" w:rsidRPr="00561285" w:rsidRDefault="00561285" w:rsidP="00561285">
            <w:pPr>
              <w:jc w:val="center"/>
            </w:pPr>
            <w:r w:rsidRPr="00561285">
              <w:t>2.1</w:t>
            </w:r>
          </w:p>
        </w:tc>
        <w:tc>
          <w:tcPr>
            <w:tcW w:w="2127" w:type="dxa"/>
          </w:tcPr>
          <w:p w:rsidR="00561285" w:rsidRPr="00561285" w:rsidRDefault="00561285" w:rsidP="001E6B90">
            <w:r w:rsidRPr="00561285">
              <w:t>Открытые сто</w:t>
            </w:r>
            <w:r w:rsidR="001E6B90">
              <w:t>-</w:t>
            </w:r>
            <w:r w:rsidRPr="00561285">
              <w:t>янки для времен</w:t>
            </w:r>
            <w:r w:rsidR="001E6B90">
              <w:t>-</w:t>
            </w:r>
            <w:proofErr w:type="spellStart"/>
            <w:r w:rsidRPr="00561285">
              <w:t>ного</w:t>
            </w:r>
            <w:proofErr w:type="spellEnd"/>
            <w:r w:rsidRPr="00561285">
              <w:t xml:space="preserve"> хранения </w:t>
            </w:r>
            <w:proofErr w:type="gramStart"/>
            <w:r w:rsidRPr="00561285">
              <w:t>легковых</w:t>
            </w:r>
            <w:proofErr w:type="gramEnd"/>
            <w:r w:rsidRPr="00561285">
              <w:t xml:space="preserve"> авто</w:t>
            </w:r>
            <w:r w:rsidR="001E6B90">
              <w:t>-</w:t>
            </w:r>
            <w:proofErr w:type="spellStart"/>
            <w:r w:rsidRPr="00561285">
              <w:t>мобилей</w:t>
            </w:r>
            <w:proofErr w:type="spellEnd"/>
            <w:r w:rsidRPr="00561285">
              <w:t xml:space="preserve"> на тер</w:t>
            </w:r>
            <w:r w:rsidR="001E6B90">
              <w:t>-</w:t>
            </w:r>
            <w:proofErr w:type="spellStart"/>
            <w:r w:rsidRPr="00561285">
              <w:t>ритории</w:t>
            </w:r>
            <w:proofErr w:type="spellEnd"/>
            <w:r w:rsidRPr="00561285">
              <w:t xml:space="preserve"> жилого района</w:t>
            </w:r>
          </w:p>
        </w:tc>
        <w:tc>
          <w:tcPr>
            <w:tcW w:w="1559" w:type="dxa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25% расчетного парка </w:t>
            </w:r>
            <w:proofErr w:type="spellStart"/>
            <w:proofErr w:type="gramStart"/>
            <w:r w:rsidRPr="00561285">
              <w:t>инди</w:t>
            </w:r>
            <w:r w:rsidR="001E6B90">
              <w:t>-</w:t>
            </w:r>
            <w:r w:rsidRPr="00561285">
              <w:t>видуальных</w:t>
            </w:r>
            <w:proofErr w:type="spellEnd"/>
            <w:proofErr w:type="gramEnd"/>
            <w:r w:rsidRPr="00561285"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>86</w:t>
            </w:r>
          </w:p>
        </w:tc>
        <w:tc>
          <w:tcPr>
            <w:tcW w:w="1701" w:type="dxa"/>
          </w:tcPr>
          <w:p w:rsidR="00561285" w:rsidRPr="00561285" w:rsidRDefault="00561285" w:rsidP="001E6B90">
            <w:r w:rsidRPr="00561285">
              <w:t xml:space="preserve">не </w:t>
            </w:r>
            <w:proofErr w:type="gramStart"/>
            <w:r w:rsidRPr="00561285">
              <w:t>установлен</w:t>
            </w:r>
            <w:proofErr w:type="gramEnd"/>
          </w:p>
        </w:tc>
      </w:tr>
    </w:tbl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A60C4B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 xml:space="preserve">Примечание: Нормативные показатели потребности в гаражах и открытых стоянках постоянного и временного хранения легковых автомобилей, а также пешеходной доступности для гаражей и открытых стоянок постоянного хранения (в условиях реконструкции) приняты в соответствии с п. 11.19 СП 42.13330.2011 «СНиП 2.07.01-89* Градостроительство. Планировка и застройка городских и сельских поселений». </w:t>
      </w:r>
    </w:p>
    <w:p w:rsidR="00561285" w:rsidRPr="00561285" w:rsidRDefault="00561285" w:rsidP="00A60C4B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lastRenderedPageBreak/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561285">
        <w:rPr>
          <w:sz w:val="26"/>
          <w:szCs w:val="26"/>
        </w:rPr>
        <w:t>пр</w:t>
      </w:r>
      <w:proofErr w:type="spellEnd"/>
      <w:proofErr w:type="gramEnd"/>
      <w:r w:rsidRPr="00561285">
        <w:rPr>
          <w:sz w:val="26"/>
          <w:szCs w:val="26"/>
        </w:rPr>
        <w:t xml:space="preserve"> до внесения изменений в постановление Правительства Российской Федерации от 26.12.2014 № 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 11.19 СП 42.13330.2011 является обязательным к применению.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 xml:space="preserve">РАСЧЕТНЫЕ ПОКАЗАТЕЛИ 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  <w:r w:rsidRPr="00561285">
        <w:rPr>
          <w:sz w:val="26"/>
          <w:szCs w:val="26"/>
        </w:rPr>
        <w:t>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561285" w:rsidRPr="00561285" w:rsidRDefault="00561285" w:rsidP="00561285">
      <w:pPr>
        <w:jc w:val="center"/>
        <w:rPr>
          <w:sz w:val="26"/>
          <w:szCs w:val="26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560"/>
        <w:gridCol w:w="2017"/>
        <w:gridCol w:w="1217"/>
        <w:gridCol w:w="1134"/>
        <w:gridCol w:w="1134"/>
        <w:gridCol w:w="1134"/>
        <w:gridCol w:w="2268"/>
      </w:tblGrid>
      <w:tr w:rsidR="00561285" w:rsidRPr="00561285" w:rsidTr="00561285">
        <w:tc>
          <w:tcPr>
            <w:tcW w:w="560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№ </w:t>
            </w:r>
            <w:proofErr w:type="gramStart"/>
            <w:r w:rsidRPr="00561285">
              <w:t>п</w:t>
            </w:r>
            <w:proofErr w:type="gramEnd"/>
            <w:r w:rsidRPr="00561285">
              <w:t>/п</w:t>
            </w:r>
          </w:p>
        </w:tc>
        <w:tc>
          <w:tcPr>
            <w:tcW w:w="2017" w:type="dxa"/>
            <w:vMerge w:val="restart"/>
          </w:tcPr>
          <w:p w:rsidR="00561285" w:rsidRPr="00561285" w:rsidRDefault="00561285" w:rsidP="00561285">
            <w:pPr>
              <w:jc w:val="center"/>
            </w:pPr>
            <w:r w:rsidRPr="00561285">
              <w:t>Наименование параметра</w:t>
            </w:r>
          </w:p>
        </w:tc>
        <w:tc>
          <w:tcPr>
            <w:tcW w:w="1217" w:type="dxa"/>
            <w:vMerge w:val="restart"/>
          </w:tcPr>
          <w:p w:rsidR="00561285" w:rsidRPr="00561285" w:rsidRDefault="00561285" w:rsidP="00561285">
            <w:pPr>
              <w:jc w:val="center"/>
            </w:pPr>
            <w:proofErr w:type="spellStart"/>
            <w:proofErr w:type="gramStart"/>
            <w:r w:rsidRPr="00561285">
              <w:t>Еди-ницы</w:t>
            </w:r>
            <w:proofErr w:type="spellEnd"/>
            <w:proofErr w:type="gramEnd"/>
            <w:r w:rsidRPr="00561285">
              <w:t xml:space="preserve"> </w:t>
            </w:r>
          </w:p>
          <w:p w:rsidR="00561285" w:rsidRPr="00561285" w:rsidRDefault="00561285" w:rsidP="00561285">
            <w:pPr>
              <w:jc w:val="center"/>
            </w:pPr>
            <w:proofErr w:type="spellStart"/>
            <w:proofErr w:type="gramStart"/>
            <w:r w:rsidRPr="00561285">
              <w:t>изме</w:t>
            </w:r>
            <w:proofErr w:type="spellEnd"/>
            <w:r w:rsidRPr="00561285">
              <w:t>-рения</w:t>
            </w:r>
            <w:proofErr w:type="gramEnd"/>
          </w:p>
        </w:tc>
        <w:tc>
          <w:tcPr>
            <w:tcW w:w="3402" w:type="dxa"/>
            <w:gridSpan w:val="3"/>
          </w:tcPr>
          <w:p w:rsidR="00561285" w:rsidRPr="00561285" w:rsidRDefault="00561285" w:rsidP="00561285">
            <w:pPr>
              <w:jc w:val="center"/>
            </w:pPr>
            <w:r w:rsidRPr="00561285">
              <w:t xml:space="preserve">Расчетный показатель минимально допустимого уровня обеспеченности территории объектами коммунальной 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инфр</w:t>
            </w:r>
            <w:r w:rsidR="00A60C4B">
              <w:t>а</w:t>
            </w:r>
            <w:r w:rsidRPr="00561285">
              <w:t>структуры</w:t>
            </w:r>
          </w:p>
        </w:tc>
        <w:tc>
          <w:tcPr>
            <w:tcW w:w="2268" w:type="dxa"/>
            <w:vMerge w:val="restart"/>
          </w:tcPr>
          <w:p w:rsidR="00561285" w:rsidRPr="00561285" w:rsidRDefault="00561285" w:rsidP="00D27E5C">
            <w:pPr>
              <w:jc w:val="center"/>
            </w:pPr>
            <w:proofErr w:type="gramStart"/>
            <w:r w:rsidRPr="00561285">
              <w:t>Расчетный</w:t>
            </w:r>
            <w:proofErr w:type="gramEnd"/>
            <w:r w:rsidRPr="00561285">
              <w:t xml:space="preserve"> показа</w:t>
            </w:r>
            <w:r w:rsidR="00D27E5C">
              <w:t>-</w:t>
            </w:r>
            <w:proofErr w:type="spellStart"/>
            <w:r w:rsidRPr="00561285">
              <w:t>тель</w:t>
            </w:r>
            <w:proofErr w:type="spellEnd"/>
            <w:r w:rsidRPr="00561285">
              <w:t xml:space="preserve"> максимально допустимого </w:t>
            </w:r>
            <w:proofErr w:type="spellStart"/>
            <w:r w:rsidRPr="00561285">
              <w:t>уров</w:t>
            </w:r>
            <w:r w:rsidR="00D27E5C">
              <w:t>-</w:t>
            </w:r>
            <w:r w:rsidRPr="00561285">
              <w:t>ня</w:t>
            </w:r>
            <w:proofErr w:type="spellEnd"/>
            <w:r w:rsidRPr="00561285">
              <w:t xml:space="preserve"> </w:t>
            </w:r>
            <w:proofErr w:type="spellStart"/>
            <w:r w:rsidRPr="00561285">
              <w:t>территориаль</w:t>
            </w:r>
            <w:proofErr w:type="spellEnd"/>
            <w:r w:rsidR="00D27E5C">
              <w:t>-</w:t>
            </w:r>
            <w:r w:rsidRPr="00561285">
              <w:t>ной доступности объектов комму</w:t>
            </w:r>
            <w:r w:rsidR="00D27E5C">
              <w:t>-</w:t>
            </w:r>
            <w:proofErr w:type="spellStart"/>
            <w:r w:rsidRPr="00561285">
              <w:t>нальной</w:t>
            </w:r>
            <w:proofErr w:type="spellEnd"/>
            <w:r w:rsidRPr="00561285">
              <w:t xml:space="preserve"> инфра</w:t>
            </w:r>
            <w:r w:rsidR="00206586">
              <w:t>-</w:t>
            </w:r>
            <w:r w:rsidRPr="00561285">
              <w:t>структуры</w:t>
            </w:r>
          </w:p>
        </w:tc>
      </w:tr>
      <w:tr w:rsidR="00561285" w:rsidRPr="00561285" w:rsidTr="00561285">
        <w:tc>
          <w:tcPr>
            <w:tcW w:w="560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201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217" w:type="dxa"/>
            <w:vMerge/>
          </w:tcPr>
          <w:p w:rsidR="00561285" w:rsidRPr="00561285" w:rsidRDefault="00561285" w:rsidP="005612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  <w:r w:rsidRPr="00561285">
              <w:rPr>
                <w:bCs/>
              </w:rPr>
              <w:t>вариант 3</w:t>
            </w:r>
          </w:p>
        </w:tc>
        <w:tc>
          <w:tcPr>
            <w:tcW w:w="2268" w:type="dxa"/>
            <w:vMerge/>
          </w:tcPr>
          <w:p w:rsidR="00561285" w:rsidRPr="00561285" w:rsidRDefault="00561285" w:rsidP="00561285">
            <w:pPr>
              <w:jc w:val="center"/>
              <w:rPr>
                <w:bCs/>
              </w:rPr>
            </w:pP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1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Электроэнергия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r w:rsidRPr="00561285">
              <w:t>кВт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409,00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409,00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409,00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2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Водоснабжение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proofErr w:type="gramStart"/>
            <w:r w:rsidRPr="00561285">
              <w:t>м</w:t>
            </w:r>
            <w:proofErr w:type="gramEnd"/>
            <w:r w:rsidRPr="00561285">
              <w:t>³/</w:t>
            </w:r>
            <w:proofErr w:type="spellStart"/>
            <w:r w:rsidRPr="00561285">
              <w:t>сут</w:t>
            </w:r>
            <w:proofErr w:type="spellEnd"/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267,40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227,40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212,00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3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Водоотведение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proofErr w:type="gramStart"/>
            <w:r w:rsidRPr="00561285">
              <w:t>м</w:t>
            </w:r>
            <w:proofErr w:type="gramEnd"/>
            <w:r w:rsidRPr="00561285">
              <w:t>³/</w:t>
            </w:r>
            <w:proofErr w:type="spellStart"/>
            <w:r w:rsidRPr="00561285">
              <w:t>сут</w:t>
            </w:r>
            <w:proofErr w:type="spellEnd"/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267,40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227,40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212,00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  <w:tr w:rsidR="00561285" w:rsidRPr="00561285" w:rsidTr="00561285">
        <w:tc>
          <w:tcPr>
            <w:tcW w:w="560" w:type="dxa"/>
          </w:tcPr>
          <w:p w:rsidR="00561285" w:rsidRPr="00561285" w:rsidRDefault="00561285" w:rsidP="00561285">
            <w:pPr>
              <w:jc w:val="center"/>
            </w:pPr>
            <w:r w:rsidRPr="00561285">
              <w:t>4</w:t>
            </w:r>
          </w:p>
        </w:tc>
        <w:tc>
          <w:tcPr>
            <w:tcW w:w="2017" w:type="dxa"/>
          </w:tcPr>
          <w:p w:rsidR="00561285" w:rsidRPr="00561285" w:rsidRDefault="00561285" w:rsidP="00A60C4B">
            <w:r w:rsidRPr="00561285">
              <w:t>Теплоснабжение (отопление/ГВС)</w:t>
            </w:r>
          </w:p>
        </w:tc>
        <w:tc>
          <w:tcPr>
            <w:tcW w:w="1217" w:type="dxa"/>
          </w:tcPr>
          <w:p w:rsidR="00561285" w:rsidRPr="00561285" w:rsidRDefault="00561285" w:rsidP="00561285">
            <w:pPr>
              <w:jc w:val="center"/>
            </w:pPr>
            <w:r w:rsidRPr="00561285">
              <w:t>Гкал/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час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0,719/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0,251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0,719/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0,213</w:t>
            </w:r>
          </w:p>
        </w:tc>
        <w:tc>
          <w:tcPr>
            <w:tcW w:w="1134" w:type="dxa"/>
          </w:tcPr>
          <w:p w:rsidR="00561285" w:rsidRPr="00561285" w:rsidRDefault="00561285" w:rsidP="00561285">
            <w:pPr>
              <w:jc w:val="center"/>
            </w:pPr>
            <w:r w:rsidRPr="00561285">
              <w:t>0,719/</w:t>
            </w:r>
          </w:p>
          <w:p w:rsidR="00561285" w:rsidRPr="00561285" w:rsidRDefault="00561285" w:rsidP="00561285">
            <w:pPr>
              <w:jc w:val="center"/>
            </w:pPr>
            <w:r w:rsidRPr="00561285">
              <w:t>0,198</w:t>
            </w:r>
          </w:p>
        </w:tc>
        <w:tc>
          <w:tcPr>
            <w:tcW w:w="2268" w:type="dxa"/>
          </w:tcPr>
          <w:p w:rsidR="00561285" w:rsidRPr="00561285" w:rsidRDefault="00561285" w:rsidP="00A60C4B">
            <w:r w:rsidRPr="00561285">
              <w:t>не нормируется</w:t>
            </w:r>
          </w:p>
        </w:tc>
      </w:tr>
    </w:tbl>
    <w:p w:rsidR="00561285" w:rsidRPr="00561285" w:rsidRDefault="00561285" w:rsidP="00561285">
      <w:pPr>
        <w:jc w:val="center"/>
        <w:rPr>
          <w:sz w:val="26"/>
          <w:szCs w:val="26"/>
        </w:rPr>
      </w:pPr>
    </w:p>
    <w:p w:rsidR="00561285" w:rsidRPr="00561285" w:rsidRDefault="00561285" w:rsidP="00A60C4B">
      <w:pPr>
        <w:ind w:firstLine="709"/>
        <w:jc w:val="both"/>
        <w:rPr>
          <w:sz w:val="26"/>
          <w:szCs w:val="26"/>
        </w:rPr>
      </w:pPr>
      <w:r w:rsidRPr="00561285">
        <w:rPr>
          <w:sz w:val="26"/>
          <w:szCs w:val="26"/>
        </w:rPr>
        <w:t>Примечание. ГВС – средняя часовая тепловая нагрузка.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432CFD">
        <w:rPr>
          <w:sz w:val="26"/>
          <w:szCs w:val="26"/>
        </w:rPr>
        <w:t xml:space="preserve">1 </w:t>
      </w:r>
      <w:r w:rsidR="00A56945" w:rsidRPr="006F5A9B">
        <w:rPr>
          <w:color w:val="000000"/>
          <w:sz w:val="26"/>
          <w:szCs w:val="26"/>
        </w:rPr>
        <w:t>000 (</w:t>
      </w:r>
      <w:r w:rsidR="006C0075">
        <w:rPr>
          <w:color w:val="000000"/>
          <w:sz w:val="26"/>
          <w:szCs w:val="26"/>
        </w:rPr>
        <w:t>од</w:t>
      </w:r>
      <w:r w:rsidR="00432CFD">
        <w:rPr>
          <w:color w:val="000000"/>
          <w:sz w:val="26"/>
          <w:szCs w:val="26"/>
        </w:rPr>
        <w:t>н</w:t>
      </w:r>
      <w:r w:rsidR="006C0075">
        <w:rPr>
          <w:color w:val="000000"/>
          <w:sz w:val="26"/>
          <w:szCs w:val="26"/>
        </w:rPr>
        <w:t>а</w:t>
      </w:r>
      <w:r w:rsidR="00432CFD">
        <w:rPr>
          <w:color w:val="000000"/>
          <w:sz w:val="26"/>
          <w:szCs w:val="26"/>
        </w:rPr>
        <w:t xml:space="preserve"> </w:t>
      </w:r>
      <w:r w:rsidR="00A56945" w:rsidRPr="006F5A9B">
        <w:rPr>
          <w:color w:val="000000"/>
          <w:sz w:val="26"/>
          <w:szCs w:val="26"/>
        </w:rPr>
        <w:t>тысяч</w:t>
      </w:r>
      <w:r w:rsidR="006C0075">
        <w:rPr>
          <w:color w:val="000000"/>
          <w:sz w:val="26"/>
          <w:szCs w:val="26"/>
        </w:rPr>
        <w:t>а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432CFD">
        <w:rPr>
          <w:rFonts w:ascii="Times New Roman" w:hAnsi="Times New Roman" w:cs="Times New Roman"/>
          <w:sz w:val="26"/>
          <w:szCs w:val="26"/>
        </w:rPr>
        <w:t>5</w:t>
      </w:r>
      <w:r w:rsidR="00432CFD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0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432CFD">
        <w:rPr>
          <w:rFonts w:ascii="Times New Roman" w:hAnsi="Times New Roman" w:cs="Times New Roman"/>
          <w:sz w:val="26"/>
          <w:szCs w:val="26"/>
        </w:rPr>
        <w:t>пятьдесят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6C0075">
        <w:rPr>
          <w:rFonts w:ascii="Times New Roman" w:hAnsi="Times New Roman" w:cs="Times New Roman"/>
          <w:sz w:val="26"/>
          <w:szCs w:val="26"/>
        </w:rPr>
        <w:t>1</w:t>
      </w:r>
      <w:r w:rsidR="00432CFD">
        <w:rPr>
          <w:rFonts w:ascii="Times New Roman" w:hAnsi="Times New Roman" w:cs="Times New Roman"/>
          <w:sz w:val="26"/>
          <w:szCs w:val="26"/>
        </w:rPr>
        <w:t xml:space="preserve"> 000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одна </w:t>
      </w:r>
      <w:r w:rsidR="00C411A5" w:rsidRPr="006F5A9B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 xml:space="preserve"> по ул. Станочной, 7, 9, 11, 13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«</w:t>
      </w:r>
      <w:r w:rsidR="00432CFD">
        <w:rPr>
          <w:sz w:val="26"/>
          <w:szCs w:val="26"/>
        </w:rPr>
        <w:t>0</w:t>
      </w:r>
      <w:r w:rsidR="00D33530">
        <w:rPr>
          <w:sz w:val="26"/>
          <w:szCs w:val="26"/>
        </w:rPr>
        <w:t>7</w:t>
      </w:r>
      <w:r w:rsidR="006D4B4C" w:rsidRPr="00A03B4E">
        <w:rPr>
          <w:sz w:val="26"/>
          <w:szCs w:val="26"/>
        </w:rPr>
        <w:t xml:space="preserve">» </w:t>
      </w:r>
      <w:r w:rsidR="00313039">
        <w:rPr>
          <w:sz w:val="26"/>
          <w:szCs w:val="26"/>
        </w:rPr>
        <w:t>августа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432CFD">
        <w:rPr>
          <w:sz w:val="26"/>
          <w:szCs w:val="26"/>
        </w:rPr>
        <w:t>8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 xml:space="preserve">кциона, до дня окончания приема документов для участия в аукционе в случае </w:t>
      </w:r>
      <w:r w:rsidRPr="001E2851">
        <w:rPr>
          <w:sz w:val="26"/>
          <w:szCs w:val="26"/>
        </w:rPr>
        <w:lastRenderedPageBreak/>
        <w:t>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D71D63">
        <w:rPr>
          <w:sz w:val="26"/>
          <w:szCs w:val="26"/>
        </w:rPr>
        <w:t>«</w:t>
      </w:r>
      <w:r w:rsidR="003A2C7A">
        <w:rPr>
          <w:sz w:val="26"/>
          <w:szCs w:val="26"/>
        </w:rPr>
        <w:t>08</w:t>
      </w:r>
      <w:r w:rsidR="00F73085" w:rsidRPr="00D71D63">
        <w:rPr>
          <w:sz w:val="26"/>
          <w:szCs w:val="26"/>
        </w:rPr>
        <w:t xml:space="preserve">» </w:t>
      </w:r>
      <w:r w:rsidR="003A2C7A">
        <w:rPr>
          <w:sz w:val="26"/>
          <w:szCs w:val="26"/>
        </w:rPr>
        <w:t>августа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A44998">
        <w:rPr>
          <w:sz w:val="26"/>
          <w:szCs w:val="26"/>
        </w:rPr>
        <w:t>8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</w:t>
      </w:r>
      <w:r w:rsidRPr="001E2851">
        <w:rPr>
          <w:sz w:val="26"/>
          <w:szCs w:val="26"/>
        </w:rPr>
        <w:lastRenderedPageBreak/>
        <w:t xml:space="preserve">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04DD4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1. Местоположение застроенной территории: г. Красноярск, Кировский район, ул. </w:t>
      </w:r>
      <w:proofErr w:type="gramStart"/>
      <w:r w:rsidRPr="0012343A">
        <w:rPr>
          <w:sz w:val="26"/>
          <w:szCs w:val="26"/>
        </w:rPr>
        <w:t>Станочная</w:t>
      </w:r>
      <w:proofErr w:type="gramEnd"/>
      <w:r w:rsidRPr="0012343A">
        <w:rPr>
          <w:sz w:val="26"/>
          <w:szCs w:val="26"/>
        </w:rPr>
        <w:t>, 7, 9, 11, 13.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2. Общая площадь застроенной территории – 9 796 кв. м.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3. Перечень зданий, строений, сооружений, подлежащих сносу: жилые дома по ул. </w:t>
      </w:r>
      <w:proofErr w:type="gramStart"/>
      <w:r w:rsidRPr="0012343A">
        <w:rPr>
          <w:sz w:val="26"/>
          <w:szCs w:val="26"/>
        </w:rPr>
        <w:t>Станочной</w:t>
      </w:r>
      <w:proofErr w:type="gramEnd"/>
      <w:r w:rsidRPr="0012343A">
        <w:rPr>
          <w:sz w:val="26"/>
          <w:szCs w:val="26"/>
        </w:rPr>
        <w:t>, 7, 9, 11, 13.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12343A">
        <w:rPr>
          <w:sz w:val="26"/>
          <w:szCs w:val="26"/>
        </w:rPr>
        <w:t>5. Обязательства лица, заключившего Договор: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территорий, 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Pr="0012343A">
        <w:rPr>
          <w:sz w:val="26"/>
          <w:szCs w:val="26"/>
        </w:rPr>
        <w:t xml:space="preserve">, социальной инфраструктуры и расчетными показателями максимально допустимого уровня территориальной </w:t>
      </w:r>
      <w:r w:rsidRPr="0012343A">
        <w:rPr>
          <w:sz w:val="26"/>
          <w:szCs w:val="26"/>
        </w:rPr>
        <w:lastRenderedPageBreak/>
        <w:t xml:space="preserve">доступности указанных объектов для населения </w:t>
      </w:r>
      <w:r w:rsidRPr="0012343A">
        <w:rPr>
          <w:bCs/>
          <w:sz w:val="26"/>
          <w:szCs w:val="26"/>
        </w:rPr>
        <w:t>не позднее одного года</w:t>
      </w:r>
      <w:r w:rsidRPr="0012343A">
        <w:rPr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заключения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12343A">
        <w:rPr>
          <w:b/>
          <w:sz w:val="26"/>
          <w:szCs w:val="26"/>
        </w:rPr>
        <w:t xml:space="preserve"> </w:t>
      </w:r>
      <w:r w:rsidRPr="0012343A">
        <w:rPr>
          <w:sz w:val="26"/>
          <w:szCs w:val="26"/>
        </w:rPr>
        <w:t>по ул. Станочной, 7, 9, 11, 13</w:t>
      </w:r>
      <w:proofErr w:type="gramEnd"/>
      <w:r w:rsidRPr="0012343A">
        <w:rPr>
          <w:sz w:val="26"/>
          <w:szCs w:val="26"/>
        </w:rPr>
        <w:t>, в течение четырех лет</w:t>
      </w:r>
      <w:r w:rsidRPr="0012343A">
        <w:rPr>
          <w:b/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 в соответствии с приложением 1 к настоящим существенным условиям Договора.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</w:t>
      </w:r>
      <w:r>
        <w:rPr>
          <w:sz w:val="26"/>
          <w:szCs w:val="26"/>
        </w:rPr>
        <w:t xml:space="preserve"> </w:t>
      </w:r>
      <w:r w:rsidRPr="0012343A">
        <w:rPr>
          <w:sz w:val="26"/>
          <w:szCs w:val="26"/>
        </w:rPr>
        <w:t>социального найма, договорам найма специализированного жилого</w:t>
      </w:r>
      <w:proofErr w:type="gramEnd"/>
      <w:r w:rsidRPr="0012343A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Станочной, 7, 9, 11, 13, указан в приложении 2 к настоящим существенным условиям Договора.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12343A">
        <w:rPr>
          <w:iCs/>
          <w:sz w:val="26"/>
          <w:szCs w:val="26"/>
        </w:rPr>
        <w:t>расположенные</w:t>
      </w:r>
      <w:r w:rsidRPr="0012343A">
        <w:rPr>
          <w:sz w:val="26"/>
          <w:szCs w:val="26"/>
        </w:rPr>
        <w:t xml:space="preserve"> в многоквартирных домах,</w:t>
      </w:r>
      <w:r w:rsidRPr="0012343A">
        <w:rPr>
          <w:iCs/>
          <w:sz w:val="26"/>
          <w:szCs w:val="26"/>
        </w:rPr>
        <w:t xml:space="preserve"> признанных аварийными и подлежащими сносу, в границах застроенной территории по </w:t>
      </w:r>
      <w:r w:rsidRPr="0012343A">
        <w:rPr>
          <w:sz w:val="26"/>
          <w:szCs w:val="26"/>
        </w:rPr>
        <w:t>ул. Станочной, 7, 9, 11, 13, указанные в приложении 2 к настоящим существенным условиям Договорам,</w:t>
      </w:r>
      <w:r w:rsidRPr="0012343A">
        <w:rPr>
          <w:iCs/>
          <w:sz w:val="26"/>
          <w:szCs w:val="26"/>
        </w:rPr>
        <w:t xml:space="preserve"> и земельные участки, на которых они расположены </w:t>
      </w:r>
      <w:r w:rsidRPr="0012343A">
        <w:rPr>
          <w:sz w:val="26"/>
          <w:szCs w:val="26"/>
        </w:rPr>
        <w:t>(за исключением жилых помещений и земельных участков, находящихся</w:t>
      </w:r>
      <w:proofErr w:type="gramEnd"/>
      <w:r w:rsidRPr="0012343A">
        <w:rPr>
          <w:sz w:val="26"/>
          <w:szCs w:val="26"/>
        </w:rPr>
        <w:t xml:space="preserve">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4) осуществить снос многоквартирных домов, признанных аварийными и подлежащими сносу, расположенных в границах застроенной территории, а также </w:t>
      </w:r>
      <w:r w:rsidRPr="0012343A">
        <w:rPr>
          <w:sz w:val="26"/>
          <w:szCs w:val="26"/>
        </w:rPr>
        <w:lastRenderedPageBreak/>
        <w:t>предоставить администрации города документы, подтверждающие произведенный снос, в течение одного месяца</w:t>
      </w:r>
      <w:r w:rsidRPr="0012343A">
        <w:rPr>
          <w:b/>
          <w:sz w:val="26"/>
          <w:szCs w:val="26"/>
        </w:rPr>
        <w:t xml:space="preserve"> </w:t>
      </w:r>
      <w:r w:rsidRPr="0012343A">
        <w:rPr>
          <w:sz w:val="26"/>
          <w:szCs w:val="26"/>
        </w:rPr>
        <w:t xml:space="preserve">со дня предоставления администрацией города письменной заявки о сносе домов, в связи с их освобождением всеми гражданами, проживавшими в данных домах;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5) осуществить строительство объектов на застроенной территории в соответствии с утвержденным проектом планировки и межевания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 не позднее семи лет</w:t>
      </w:r>
      <w:r w:rsidRPr="0012343A">
        <w:rPr>
          <w:b/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</w:t>
      </w:r>
      <w:r w:rsidRPr="0012343A">
        <w:rPr>
          <w:b/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 четырех</w:t>
      </w:r>
      <w:r w:rsidRPr="0012343A">
        <w:rPr>
          <w:bCs/>
          <w:sz w:val="26"/>
          <w:szCs w:val="26"/>
        </w:rPr>
        <w:t xml:space="preserve"> месяцев</w:t>
      </w:r>
      <w:r w:rsidRPr="0012343A">
        <w:rPr>
          <w:sz w:val="26"/>
          <w:szCs w:val="26"/>
        </w:rPr>
        <w:t xml:space="preserve"> </w:t>
      </w:r>
      <w:proofErr w:type="gramStart"/>
      <w:r w:rsidRPr="0012343A">
        <w:rPr>
          <w:sz w:val="26"/>
          <w:szCs w:val="26"/>
        </w:rPr>
        <w:t>с даты получения</w:t>
      </w:r>
      <w:proofErr w:type="gramEnd"/>
      <w:r w:rsidRPr="0012343A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6. Обязательства администрации города Красноярска: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1) утвердить в установленном порядке проект планировки застроенной территории</w:t>
      </w:r>
      <w:r w:rsidRPr="0012343A">
        <w:rPr>
          <w:iCs/>
          <w:sz w:val="26"/>
          <w:szCs w:val="26"/>
        </w:rPr>
        <w:t xml:space="preserve">, </w:t>
      </w:r>
      <w:r w:rsidRPr="0012343A">
        <w:rPr>
          <w:sz w:val="26"/>
          <w:szCs w:val="26"/>
        </w:rPr>
        <w:t>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инфраструктуры и расчетными показателями максимально допустимого уровня</w:t>
      </w:r>
      <w:proofErr w:type="gramEnd"/>
      <w:r w:rsidRPr="0012343A">
        <w:rPr>
          <w:sz w:val="26"/>
          <w:szCs w:val="26"/>
        </w:rPr>
        <w:t xml:space="preserve"> территориальной доступности указанных объектов для населения,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</w:t>
      </w:r>
      <w:proofErr w:type="gramStart"/>
      <w:r w:rsidRPr="0012343A">
        <w:rPr>
          <w:sz w:val="26"/>
          <w:szCs w:val="26"/>
        </w:rPr>
        <w:t>с даты подписания</w:t>
      </w:r>
      <w:proofErr w:type="gramEnd"/>
      <w:r w:rsidRPr="0012343A">
        <w:rPr>
          <w:sz w:val="26"/>
          <w:szCs w:val="26"/>
        </w:rPr>
        <w:t xml:space="preserve"> Договора;</w:t>
      </w:r>
    </w:p>
    <w:p w:rsidR="0012343A" w:rsidRPr="0012343A" w:rsidRDefault="0012343A" w:rsidP="0012343A">
      <w:pPr>
        <w:ind w:firstLine="709"/>
        <w:jc w:val="both"/>
        <w:rPr>
          <w:b/>
          <w:i/>
          <w:sz w:val="26"/>
          <w:szCs w:val="26"/>
        </w:rPr>
      </w:pPr>
      <w:proofErr w:type="gramStart"/>
      <w:r w:rsidRPr="0012343A">
        <w:rPr>
          <w:sz w:val="26"/>
          <w:szCs w:val="26"/>
        </w:rPr>
        <w:t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Станочной, 7, 9, 11, 13,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12343A">
        <w:rPr>
          <w:b/>
          <w:i/>
          <w:sz w:val="26"/>
          <w:szCs w:val="26"/>
        </w:rPr>
        <w:t xml:space="preserve"> </w:t>
      </w:r>
      <w:proofErr w:type="gramEnd"/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</w:t>
      </w:r>
      <w:r w:rsidRPr="0012343A">
        <w:rPr>
          <w:sz w:val="26"/>
          <w:szCs w:val="26"/>
        </w:rPr>
        <w:lastRenderedPageBreak/>
        <w:t>гражданами, выселяемыми из жилых помещений  в многоквартирных домах, признанных аварийными и подлежащими сносу;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 Станочной, 7, 9, 11, 13, и земельные участки, на которых они расположены, у собственников в течение четырех лет с даты подписания Договора. </w:t>
      </w:r>
      <w:proofErr w:type="gramEnd"/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proofErr w:type="gramStart"/>
      <w:r w:rsidRPr="0012343A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12343A">
        <w:rPr>
          <w:sz w:val="26"/>
          <w:szCs w:val="26"/>
        </w:rPr>
        <w:t xml:space="preserve"> (или) во владение гражданам и юридическим лицам.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7. Срок действия Договора составляет семь лет.</w:t>
      </w:r>
    </w:p>
    <w:p w:rsidR="00F17665" w:rsidRPr="00F17665" w:rsidRDefault="0012343A" w:rsidP="00F17665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  <w:r w:rsidR="00F17665">
        <w:rPr>
          <w:sz w:val="26"/>
          <w:szCs w:val="26"/>
        </w:rPr>
        <w:t xml:space="preserve"> </w:t>
      </w:r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bookmarkStart w:id="1" w:name="_GoBack"/>
      <w:bookmarkEnd w:id="1"/>
      <w:r w:rsidRPr="0012343A">
        <w:rPr>
          <w:sz w:val="26"/>
          <w:szCs w:val="26"/>
        </w:rPr>
        <w:t>9. </w:t>
      </w:r>
      <w:proofErr w:type="gramStart"/>
      <w:r w:rsidRPr="0012343A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12343A" w:rsidRPr="0012343A" w:rsidRDefault="0012343A" w:rsidP="0012343A">
      <w:pPr>
        <w:ind w:firstLine="709"/>
        <w:jc w:val="both"/>
        <w:rPr>
          <w:sz w:val="26"/>
          <w:szCs w:val="26"/>
        </w:rPr>
      </w:pPr>
      <w:r w:rsidRPr="0012343A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112DD1" w:rsidRDefault="00112DD1" w:rsidP="00A4499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04DD4" w:rsidRPr="00104DD4" w:rsidRDefault="00104DD4" w:rsidP="00104DD4">
      <w:pPr>
        <w:pStyle w:val="HeadDoc"/>
        <w:jc w:val="center"/>
        <w:rPr>
          <w:sz w:val="26"/>
          <w:szCs w:val="26"/>
        </w:rPr>
      </w:pPr>
      <w:r w:rsidRPr="00104DD4">
        <w:rPr>
          <w:sz w:val="26"/>
          <w:szCs w:val="26"/>
        </w:rPr>
        <w:t>ПЕРЕЧЕНЬ</w:t>
      </w:r>
    </w:p>
    <w:p w:rsidR="00104DD4" w:rsidRPr="00104DD4" w:rsidRDefault="00104DD4" w:rsidP="00104DD4">
      <w:pPr>
        <w:pStyle w:val="HeadDoc"/>
        <w:jc w:val="center"/>
        <w:rPr>
          <w:sz w:val="26"/>
          <w:szCs w:val="26"/>
        </w:rPr>
      </w:pPr>
      <w:r w:rsidRPr="00104DD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104DD4">
        <w:rPr>
          <w:sz w:val="26"/>
          <w:szCs w:val="26"/>
        </w:rPr>
        <w:t>безвозмездной</w:t>
      </w:r>
      <w:proofErr w:type="gramEnd"/>
    </w:p>
    <w:p w:rsidR="00104DD4" w:rsidRPr="00104DD4" w:rsidRDefault="00104DD4" w:rsidP="00104DD4">
      <w:pPr>
        <w:pStyle w:val="HeadDoc"/>
        <w:jc w:val="center"/>
        <w:rPr>
          <w:sz w:val="26"/>
          <w:szCs w:val="26"/>
        </w:rPr>
      </w:pPr>
      <w:r w:rsidRPr="00104DD4">
        <w:rPr>
          <w:sz w:val="26"/>
          <w:szCs w:val="26"/>
        </w:rPr>
        <w:t>передаче в муниципальную собственность</w:t>
      </w:r>
    </w:p>
    <w:p w:rsidR="00104DD4" w:rsidRPr="00104DD4" w:rsidRDefault="00104DD4" w:rsidP="00104DD4">
      <w:pPr>
        <w:pStyle w:val="HeadDoc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1741"/>
        <w:gridCol w:w="2268"/>
        <w:gridCol w:w="1559"/>
        <w:gridCol w:w="1560"/>
      </w:tblGrid>
      <w:tr w:rsidR="00104DD4" w:rsidRPr="00104DD4" w:rsidTr="00104DD4">
        <w:trPr>
          <w:trHeight w:val="384"/>
        </w:trPr>
        <w:tc>
          <w:tcPr>
            <w:tcW w:w="709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№ </w:t>
            </w:r>
            <w:proofErr w:type="gramStart"/>
            <w:r w:rsidRPr="00104DD4">
              <w:rPr>
                <w:sz w:val="26"/>
                <w:szCs w:val="26"/>
              </w:rPr>
              <w:t>п</w:t>
            </w:r>
            <w:proofErr w:type="gramEnd"/>
            <w:r w:rsidRPr="00104DD4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Количество</w:t>
            </w:r>
          </w:p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комнат</w:t>
            </w:r>
          </w:p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104DD4">
              <w:rPr>
                <w:sz w:val="26"/>
                <w:szCs w:val="26"/>
              </w:rPr>
              <w:t>жилых</w:t>
            </w:r>
            <w:proofErr w:type="gramEnd"/>
          </w:p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Общая площадь жилого помещения          (не менее</w:t>
            </w:r>
            <w:r>
              <w:rPr>
                <w:sz w:val="26"/>
                <w:szCs w:val="26"/>
              </w:rPr>
              <w:t xml:space="preserve"> </w:t>
            </w:r>
            <w:r w:rsidRPr="00104DD4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Примечание</w:t>
            </w:r>
          </w:p>
        </w:tc>
      </w:tr>
      <w:tr w:rsidR="00104DD4" w:rsidRPr="00104DD4" w:rsidTr="00104DD4">
        <w:trPr>
          <w:trHeight w:val="1397"/>
        </w:trPr>
        <w:tc>
          <w:tcPr>
            <w:tcW w:w="709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04DD4" w:rsidRPr="00104DD4" w:rsidRDefault="00104DD4" w:rsidP="00104DD4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04DD4" w:rsidRPr="00104DD4" w:rsidRDefault="00104DD4" w:rsidP="00104DD4">
            <w:pPr>
              <w:pStyle w:val="HeadDoc"/>
              <w:keepLines w:val="0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104DD4" w:rsidRPr="00104DD4" w:rsidRDefault="00104DD4" w:rsidP="00104DD4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04DD4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104DD4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90113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7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27,8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4, комн. 1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74,8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78,0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9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14, 15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20,0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24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16,5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16,7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47,3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34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11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10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31,4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11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12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20,2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18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13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16,2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14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15,9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15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23,0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33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</w:t>
            </w:r>
          </w:p>
        </w:tc>
      </w:tr>
      <w:tr w:rsidR="00104DD4" w:rsidRPr="00104DD4" w:rsidTr="00104DD4">
        <w:tc>
          <w:tcPr>
            <w:tcW w:w="9498" w:type="dxa"/>
            <w:gridSpan w:val="6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104DD4">
              <w:rPr>
                <w:sz w:val="26"/>
                <w:szCs w:val="26"/>
              </w:rPr>
              <w:t>Станочной</w:t>
            </w:r>
            <w:proofErr w:type="gramEnd"/>
            <w:r w:rsidRPr="00104DD4">
              <w:rPr>
                <w:sz w:val="26"/>
                <w:szCs w:val="26"/>
              </w:rPr>
              <w:t>, 13</w:t>
            </w:r>
          </w:p>
        </w:tc>
      </w:tr>
      <w:tr w:rsidR="00104DD4" w:rsidRPr="00104DD4" w:rsidTr="00104DD4">
        <w:tc>
          <w:tcPr>
            <w:tcW w:w="70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16</w:t>
            </w:r>
          </w:p>
        </w:tc>
        <w:tc>
          <w:tcPr>
            <w:tcW w:w="166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51,9</w:t>
            </w:r>
          </w:p>
        </w:tc>
        <w:tc>
          <w:tcPr>
            <w:tcW w:w="1559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4, комн. 2</w:t>
            </w:r>
          </w:p>
        </w:tc>
        <w:tc>
          <w:tcPr>
            <w:tcW w:w="1560" w:type="dxa"/>
          </w:tcPr>
          <w:p w:rsidR="00104DD4" w:rsidRPr="00104DD4" w:rsidRDefault="00104DD4" w:rsidP="00B057A1">
            <w:pPr>
              <w:pStyle w:val="HeadDoc"/>
              <w:jc w:val="center"/>
              <w:rPr>
                <w:sz w:val="26"/>
                <w:szCs w:val="26"/>
              </w:rPr>
            </w:pPr>
            <w:r w:rsidRPr="00104DD4">
              <w:rPr>
                <w:sz w:val="26"/>
                <w:szCs w:val="26"/>
              </w:rPr>
              <w:t>4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ПЕРЕЧЕНЬ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помещений, расположенных в многоквартирных домах, признанных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аварийными и подлежащими сносу</w:t>
      </w:r>
    </w:p>
    <w:p w:rsidR="00B8523E" w:rsidRPr="00B8523E" w:rsidRDefault="00B8523E" w:rsidP="00B8523E">
      <w:pPr>
        <w:pStyle w:val="HeadDoc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B8523E" w:rsidRPr="00B8523E" w:rsidTr="00B8523E">
        <w:trPr>
          <w:cantSplit/>
          <w:trHeight w:val="579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№ </w:t>
            </w:r>
            <w:proofErr w:type="gramStart"/>
            <w:r w:rsidRPr="00B8523E">
              <w:rPr>
                <w:sz w:val="26"/>
                <w:szCs w:val="26"/>
              </w:rPr>
              <w:t>п</w:t>
            </w:r>
            <w:proofErr w:type="gramEnd"/>
            <w:r w:rsidRPr="00B8523E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Номер</w:t>
            </w:r>
          </w:p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B8523E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ников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B8523E" w:rsidRPr="00B8523E" w:rsidTr="00B8523E">
        <w:trPr>
          <w:cantSplit/>
          <w:trHeight w:val="2411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Pr="00B8523E">
              <w:rPr>
                <w:sz w:val="26"/>
                <w:szCs w:val="26"/>
              </w:rPr>
              <w:t>редоставлен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B8523E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proofErr w:type="spellStart"/>
            <w:r>
              <w:rPr>
                <w:sz w:val="26"/>
                <w:szCs w:val="26"/>
              </w:rPr>
              <w:t>дого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 xml:space="preserve">вору </w:t>
            </w:r>
            <w:proofErr w:type="spellStart"/>
            <w:r w:rsidRPr="00B8523E">
              <w:rPr>
                <w:sz w:val="26"/>
                <w:szCs w:val="26"/>
              </w:rPr>
              <w:t>социаль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ного</w:t>
            </w:r>
            <w:proofErr w:type="spellEnd"/>
            <w:r w:rsidRPr="00B8523E">
              <w:rPr>
                <w:sz w:val="26"/>
                <w:szCs w:val="26"/>
              </w:rPr>
              <w:t xml:space="preserve"> найма,</w:t>
            </w:r>
          </w:p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договору </w:t>
            </w:r>
            <w:proofErr w:type="spellStart"/>
            <w:proofErr w:type="gramStart"/>
            <w:r w:rsidRPr="00B8523E">
              <w:rPr>
                <w:sz w:val="26"/>
                <w:szCs w:val="26"/>
              </w:rPr>
              <w:t>най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ма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</w:t>
            </w:r>
            <w:proofErr w:type="spellStart"/>
            <w:r w:rsidRPr="00B8523E">
              <w:rPr>
                <w:sz w:val="26"/>
                <w:szCs w:val="26"/>
              </w:rPr>
              <w:t>специализи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рованного</w:t>
            </w:r>
            <w:proofErr w:type="spellEnd"/>
            <w:r w:rsidRPr="00B8523E">
              <w:rPr>
                <w:sz w:val="26"/>
                <w:szCs w:val="26"/>
              </w:rPr>
              <w:t xml:space="preserve"> </w:t>
            </w:r>
            <w:proofErr w:type="spellStart"/>
            <w:r w:rsidRPr="00B8523E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мещения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 xml:space="preserve">находящегося в </w:t>
            </w:r>
            <w:proofErr w:type="spellStart"/>
            <w:r w:rsidRPr="00B8523E">
              <w:rPr>
                <w:sz w:val="26"/>
                <w:szCs w:val="26"/>
              </w:rPr>
              <w:t>собственнос</w:t>
            </w:r>
            <w:r>
              <w:rPr>
                <w:sz w:val="26"/>
                <w:szCs w:val="26"/>
              </w:rPr>
              <w:t>-</w:t>
            </w:r>
            <w:r w:rsidRPr="00B8523E">
              <w:rPr>
                <w:sz w:val="26"/>
                <w:szCs w:val="26"/>
              </w:rPr>
              <w:t>ти</w:t>
            </w:r>
            <w:proofErr w:type="spellEnd"/>
            <w:r w:rsidRPr="00B8523E">
              <w:rPr>
                <w:sz w:val="26"/>
                <w:szCs w:val="26"/>
              </w:rPr>
              <w:t xml:space="preserve"> граждан</w:t>
            </w:r>
            <w:r w:rsidR="001A7895">
              <w:rPr>
                <w:sz w:val="26"/>
                <w:szCs w:val="26"/>
              </w:rPr>
              <w:t xml:space="preserve"> </w:t>
            </w:r>
            <w:r w:rsidRPr="00B8523E">
              <w:rPr>
                <w:sz w:val="26"/>
                <w:szCs w:val="26"/>
              </w:rPr>
              <w:t xml:space="preserve">и подлежащего изъятию </w:t>
            </w:r>
            <w:proofErr w:type="gramStart"/>
            <w:r w:rsidRPr="00B8523E">
              <w:rPr>
                <w:sz w:val="26"/>
                <w:szCs w:val="26"/>
              </w:rPr>
              <w:t>для</w:t>
            </w:r>
            <w:proofErr w:type="gramEnd"/>
          </w:p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8523E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B8523E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rPr>
                <w:sz w:val="26"/>
                <w:szCs w:val="26"/>
              </w:rPr>
            </w:pPr>
          </w:p>
        </w:tc>
      </w:tr>
      <w:tr w:rsidR="00B8523E" w:rsidRPr="00B8523E" w:rsidTr="007E2D81">
        <w:trPr>
          <w:cantSplit/>
          <w:trHeight w:val="70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7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9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14, 15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11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Ул. Станочная, 13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4, комн.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4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3</w:t>
            </w:r>
          </w:p>
        </w:tc>
      </w:tr>
      <w:tr w:rsidR="00B8523E" w:rsidRPr="00B8523E" w:rsidTr="007E2D8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3E" w:rsidRPr="00B8523E" w:rsidRDefault="00B8523E" w:rsidP="00B8523E">
            <w:pPr>
              <w:pStyle w:val="HeadDoc"/>
              <w:jc w:val="center"/>
              <w:rPr>
                <w:sz w:val="26"/>
                <w:szCs w:val="26"/>
              </w:rPr>
            </w:pPr>
            <w:r w:rsidRPr="00B8523E">
              <w:rPr>
                <w:sz w:val="26"/>
                <w:szCs w:val="26"/>
              </w:rPr>
              <w:t>1</w:t>
            </w:r>
          </w:p>
        </w:tc>
      </w:tr>
    </w:tbl>
    <w:p w:rsidR="00E7398B" w:rsidRDefault="00E7398B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E7398B" w:rsidRDefault="00E7398B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7879D5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B458E4" w:rsidRPr="001E2851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79D5">
        <w:rPr>
          <w:rFonts w:ascii="Times New Roman" w:hAnsi="Times New Roman" w:cs="Times New Roman"/>
          <w:color w:val="000000"/>
          <w:sz w:val="26"/>
          <w:szCs w:val="26"/>
        </w:rPr>
        <w:t>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8925B3" w:rsidRPr="008925B3" w:rsidRDefault="008925B3" w:rsidP="008925B3">
      <w:pPr>
        <w:jc w:val="center"/>
        <w:rPr>
          <w:bCs/>
          <w:sz w:val="26"/>
          <w:szCs w:val="26"/>
        </w:rPr>
      </w:pPr>
      <w:r w:rsidRPr="008925B3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ДОГОВОР № ____</w:t>
      </w:r>
    </w:p>
    <w:p w:rsidR="008925B3" w:rsidRPr="008925B3" w:rsidRDefault="008925B3" w:rsidP="008925B3">
      <w:pPr>
        <w:jc w:val="center"/>
        <w:rPr>
          <w:sz w:val="26"/>
          <w:szCs w:val="26"/>
        </w:rPr>
      </w:pPr>
      <w:r w:rsidRPr="008925B3">
        <w:rPr>
          <w:bCs/>
          <w:sz w:val="26"/>
          <w:szCs w:val="26"/>
        </w:rPr>
        <w:t>о развитии застроенной территории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jc w:val="both"/>
        <w:rPr>
          <w:sz w:val="26"/>
          <w:szCs w:val="26"/>
        </w:rPr>
      </w:pPr>
      <w:r w:rsidRPr="008925B3">
        <w:rPr>
          <w:sz w:val="26"/>
          <w:szCs w:val="26"/>
        </w:rPr>
        <w:t>г. Красноярск                                                                             «___» _________ 2018г.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8925B3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</w:t>
      </w:r>
      <w:r w:rsidRPr="008925B3">
        <w:rPr>
          <w:sz w:val="28"/>
          <w:szCs w:val="28"/>
        </w:rPr>
        <w:t xml:space="preserve"> </w:t>
      </w:r>
      <w:r w:rsidRPr="008925B3">
        <w:rPr>
          <w:sz w:val="26"/>
          <w:szCs w:val="26"/>
        </w:rPr>
        <w:t>распоряжения администрации города Красноярска от 26.02.2018 № 100-р л/с,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8925B3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ind w:firstLine="709"/>
        <w:contextualSpacing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1. Предмет Договора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1.1. </w:t>
      </w:r>
      <w:proofErr w:type="gramStart"/>
      <w:r w:rsidRPr="008925B3">
        <w:rPr>
          <w:rFonts w:eastAsiaTheme="minorEastAsia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8925B3" w:rsidRPr="008925B3" w:rsidRDefault="008925B3" w:rsidP="008925B3">
      <w:pPr>
        <w:ind w:firstLine="709"/>
        <w:jc w:val="both"/>
        <w:rPr>
          <w:bCs/>
          <w:sz w:val="26"/>
          <w:szCs w:val="26"/>
        </w:rPr>
      </w:pPr>
      <w:r w:rsidRPr="008925B3">
        <w:rPr>
          <w:sz w:val="26"/>
          <w:szCs w:val="26"/>
        </w:rPr>
        <w:t>1.2. </w:t>
      </w:r>
      <w:proofErr w:type="gramStart"/>
      <w:r w:rsidRPr="008925B3">
        <w:rPr>
          <w:sz w:val="26"/>
          <w:szCs w:val="26"/>
        </w:rPr>
        <w:t xml:space="preserve">Предметом настоящего Договора является развитие застроенной территории по ул. Станочной, 7, 9, 11, 13 </w:t>
      </w:r>
      <w:r w:rsidRPr="008925B3">
        <w:rPr>
          <w:bCs/>
          <w:sz w:val="26"/>
          <w:szCs w:val="26"/>
        </w:rPr>
        <w:t xml:space="preserve">в Кировском районе </w:t>
      </w:r>
      <w:r w:rsidRPr="008925B3">
        <w:rPr>
          <w:sz w:val="26"/>
          <w:szCs w:val="26"/>
        </w:rPr>
        <w:t>г. Красноярска, площадью 9 796 кв. м, (далее – Территория), в отношении которой на основании ст. 46.1 Градостроительного кодекса Российской Федерации принято распоряжение администрации города Красноярска от 08.05.2018 № 58-арх «О развитии застроенной территории по ул. Станочной, 7, 9, 11, 13»</w:t>
      </w:r>
      <w:r w:rsidRPr="008925B3">
        <w:rPr>
          <w:rFonts w:eastAsia="Calibri"/>
          <w:bCs/>
          <w:sz w:val="26"/>
          <w:szCs w:val="26"/>
        </w:rPr>
        <w:t>.</w:t>
      </w:r>
      <w:proofErr w:type="gramEnd"/>
    </w:p>
    <w:p w:rsidR="008925B3" w:rsidRPr="008925B3" w:rsidRDefault="008925B3" w:rsidP="008925B3">
      <w:pPr>
        <w:ind w:firstLine="709"/>
        <w:jc w:val="both"/>
        <w:rPr>
          <w:color w:val="000000"/>
          <w:sz w:val="26"/>
          <w:szCs w:val="26"/>
        </w:rPr>
      </w:pPr>
      <w:r w:rsidRPr="008925B3">
        <w:rPr>
          <w:color w:val="000000"/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Default="008925B3" w:rsidP="008925B3">
      <w:pPr>
        <w:ind w:firstLine="709"/>
        <w:jc w:val="center"/>
        <w:rPr>
          <w:sz w:val="26"/>
          <w:szCs w:val="26"/>
        </w:rPr>
      </w:pPr>
    </w:p>
    <w:p w:rsidR="008925B3" w:rsidRDefault="008925B3" w:rsidP="008925B3">
      <w:pPr>
        <w:ind w:firstLine="709"/>
        <w:jc w:val="center"/>
        <w:rPr>
          <w:sz w:val="26"/>
          <w:szCs w:val="26"/>
        </w:rPr>
      </w:pPr>
    </w:p>
    <w:p w:rsidR="008925B3" w:rsidRDefault="008925B3" w:rsidP="008925B3">
      <w:pPr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2. Цена права на заключение Договора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2.1.  Цена права на заключение Договора составляет</w:t>
      </w:r>
      <w:proofErr w:type="gramStart"/>
      <w:r w:rsidRPr="008925B3">
        <w:rPr>
          <w:rFonts w:eastAsiaTheme="minorEastAsia"/>
          <w:sz w:val="26"/>
          <w:szCs w:val="26"/>
        </w:rPr>
        <w:t xml:space="preserve"> _______ (___________) </w:t>
      </w:r>
      <w:proofErr w:type="gramEnd"/>
      <w:r w:rsidRPr="008925B3">
        <w:rPr>
          <w:rFonts w:eastAsiaTheme="minorEastAsia"/>
          <w:sz w:val="26"/>
          <w:szCs w:val="26"/>
        </w:rPr>
        <w:t xml:space="preserve">рублей в соответствии с протоколом о результатах аукциона на право заключения договора о развитии застроенной территории по ул. Станочной, 7, 9, 11, 13 в Кировском районе </w:t>
      </w:r>
      <w:r w:rsidRPr="008925B3">
        <w:rPr>
          <w:rFonts w:eastAsiaTheme="minorEastAsia"/>
          <w:bCs/>
          <w:sz w:val="26"/>
          <w:szCs w:val="26"/>
        </w:rPr>
        <w:t>г. Красноярска</w:t>
      </w:r>
      <w:r w:rsidRPr="008925B3">
        <w:rPr>
          <w:rFonts w:eastAsiaTheme="minorEastAsia"/>
          <w:sz w:val="26"/>
          <w:szCs w:val="26"/>
        </w:rPr>
        <w:t xml:space="preserve"> от «_____» _________ 2018 г.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8925B3">
        <w:rPr>
          <w:sz w:val="26"/>
          <w:szCs w:val="26"/>
        </w:rPr>
        <w:t>с даты заключения</w:t>
      </w:r>
      <w:proofErr w:type="gramEnd"/>
      <w:r w:rsidRPr="008925B3">
        <w:rPr>
          <w:sz w:val="26"/>
          <w:szCs w:val="26"/>
        </w:rPr>
        <w:t xml:space="preserve"> Договора по реквизитам, указанным в п. 2.3. Договора. 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8925B3" w:rsidRPr="008925B3" w:rsidRDefault="008925B3" w:rsidP="008925B3">
      <w:pPr>
        <w:tabs>
          <w:tab w:val="left" w:pos="0"/>
          <w:tab w:val="left" w:pos="1363"/>
        </w:tabs>
        <w:autoSpaceDN w:val="0"/>
        <w:ind w:firstLine="709"/>
        <w:jc w:val="both"/>
        <w:textAlignment w:val="baseline"/>
        <w:rPr>
          <w:rFonts w:eastAsia="Lucida Sans Unicode"/>
          <w:kern w:val="3"/>
          <w:sz w:val="26"/>
          <w:szCs w:val="26"/>
          <w:lang w:eastAsia="en-US"/>
        </w:rPr>
      </w:pPr>
      <w:r w:rsidRPr="008925B3">
        <w:rPr>
          <w:rFonts w:eastAsia="Lucida Sans Unicode"/>
          <w:kern w:val="3"/>
          <w:sz w:val="26"/>
          <w:szCs w:val="26"/>
          <w:lang w:eastAsia="en-US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8925B3" w:rsidRPr="008925B3" w:rsidRDefault="008925B3" w:rsidP="008925B3">
      <w:pPr>
        <w:tabs>
          <w:tab w:val="left" w:pos="1080"/>
        </w:tabs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3. Права и обязанности сторон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3.1. Администрация имеет право: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3.1.1. Контролировать соблюдение Инвестором условий Договора.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3.1.2. Инициировать внесение необходимых изменений в Договор.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 Администрация обязуется: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3.2.1. </w:t>
      </w:r>
      <w:proofErr w:type="gramStart"/>
      <w:r w:rsidRPr="008925B3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8925B3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8925B3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8925B3">
        <w:rPr>
          <w:sz w:val="26"/>
          <w:szCs w:val="26"/>
        </w:rPr>
        <w:t xml:space="preserve"> объектов для населения, </w:t>
      </w:r>
      <w:r w:rsidRPr="008925B3">
        <w:rPr>
          <w:b/>
          <w:sz w:val="26"/>
          <w:szCs w:val="26"/>
        </w:rPr>
        <w:t>не позднее 4 месяцев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представления</w:t>
      </w:r>
      <w:proofErr w:type="gramEnd"/>
      <w:r w:rsidRPr="008925B3">
        <w:rPr>
          <w:sz w:val="26"/>
          <w:szCs w:val="26"/>
        </w:rPr>
        <w:t xml:space="preserve"> в полном объеме проекта планировки Территории, включая проект межевания Территории.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8925B3">
        <w:rPr>
          <w:b/>
          <w:sz w:val="26"/>
          <w:szCs w:val="26"/>
        </w:rPr>
        <w:t>в течение 7 месяцев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подписания</w:t>
      </w:r>
      <w:proofErr w:type="gramEnd"/>
      <w:r w:rsidRPr="008925B3">
        <w:rPr>
          <w:sz w:val="26"/>
          <w:szCs w:val="26"/>
        </w:rPr>
        <w:t xml:space="preserve"> Договора.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3.2.3. </w:t>
      </w:r>
      <w:proofErr w:type="gramStart"/>
      <w:r w:rsidRPr="008925B3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Станочной, 7, 9, 11, 13, предоставленных по договорам социального найма, договорам найма специализированного жилого </w:t>
      </w:r>
      <w:r w:rsidRPr="008925B3">
        <w:rPr>
          <w:sz w:val="26"/>
          <w:szCs w:val="26"/>
        </w:rPr>
        <w:lastRenderedPageBreak/>
        <w:t>помещения и расположенных в границах застроенной территории</w:t>
      </w:r>
      <w:r w:rsidRPr="008925B3">
        <w:rPr>
          <w:b/>
          <w:sz w:val="26"/>
          <w:szCs w:val="26"/>
        </w:rPr>
        <w:t>, в течение 3 месяцев</w:t>
      </w:r>
      <w:r w:rsidRPr="008925B3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8925B3" w:rsidRPr="008925B3" w:rsidRDefault="008925B3" w:rsidP="008925B3">
      <w:pPr>
        <w:ind w:firstLine="709"/>
        <w:jc w:val="both"/>
        <w:rPr>
          <w:b/>
          <w:sz w:val="26"/>
          <w:szCs w:val="26"/>
        </w:rPr>
      </w:pPr>
      <w:r w:rsidRPr="008925B3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расположенные в границах Территории по ул. Станочной, 7, 9, 11, 13, и земельные участки, на которых они расположены, у собственников </w:t>
      </w:r>
      <w:r w:rsidRPr="008925B3">
        <w:rPr>
          <w:b/>
          <w:sz w:val="26"/>
          <w:szCs w:val="26"/>
        </w:rPr>
        <w:t>в течение</w:t>
      </w:r>
      <w:r w:rsidRPr="008925B3">
        <w:rPr>
          <w:sz w:val="26"/>
          <w:szCs w:val="26"/>
        </w:rPr>
        <w:t xml:space="preserve"> </w:t>
      </w:r>
      <w:r w:rsidRPr="008925B3">
        <w:rPr>
          <w:b/>
          <w:sz w:val="26"/>
          <w:szCs w:val="26"/>
        </w:rPr>
        <w:t>4 лет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подписания</w:t>
      </w:r>
      <w:proofErr w:type="gramEnd"/>
      <w:r w:rsidRPr="008925B3">
        <w:rPr>
          <w:sz w:val="26"/>
          <w:szCs w:val="26"/>
        </w:rPr>
        <w:t xml:space="preserve"> Договора. 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8925B3" w:rsidRPr="008925B3" w:rsidRDefault="008925B3" w:rsidP="008925B3">
      <w:pPr>
        <w:ind w:firstLine="708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3.2.5. </w:t>
      </w:r>
      <w:proofErr w:type="gramStart"/>
      <w:r w:rsidRPr="008925B3">
        <w:rPr>
          <w:b/>
          <w:sz w:val="26"/>
          <w:szCs w:val="26"/>
        </w:rPr>
        <w:t>В течение 3 месяцев</w:t>
      </w:r>
      <w:r w:rsidRPr="008925B3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8925B3">
        <w:rPr>
          <w:sz w:val="26"/>
          <w:szCs w:val="26"/>
        </w:rPr>
        <w:t xml:space="preserve"> лицам. </w:t>
      </w:r>
    </w:p>
    <w:p w:rsidR="008925B3" w:rsidRPr="008925B3" w:rsidRDefault="008925B3" w:rsidP="008925B3">
      <w:pPr>
        <w:ind w:firstLine="708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3.2.6.</w:t>
      </w:r>
      <w:r w:rsidRPr="008925B3">
        <w:rPr>
          <w:rFonts w:eastAsiaTheme="minorEastAsia"/>
          <w:b/>
          <w:sz w:val="26"/>
          <w:szCs w:val="26"/>
        </w:rPr>
        <w:t> </w:t>
      </w:r>
      <w:proofErr w:type="gramStart"/>
      <w:r w:rsidRPr="008925B3">
        <w:rPr>
          <w:rFonts w:eastAsiaTheme="minorEastAsia"/>
          <w:b/>
          <w:sz w:val="26"/>
          <w:szCs w:val="26"/>
        </w:rPr>
        <w:t xml:space="preserve">В течение 10 рабочих дней </w:t>
      </w:r>
      <w:r w:rsidRPr="008925B3">
        <w:rPr>
          <w:rFonts w:eastAsiaTheme="minorEastAsia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8925B3">
        <w:rPr>
          <w:rFonts w:eastAsiaTheme="minorEastAsia"/>
          <w:color w:val="333333"/>
          <w:sz w:val="26"/>
          <w:szCs w:val="26"/>
        </w:rPr>
        <w:t xml:space="preserve"> с</w:t>
      </w:r>
      <w:r w:rsidRPr="008925B3">
        <w:rPr>
          <w:rFonts w:eastAsiaTheme="minorEastAsia"/>
          <w:sz w:val="26"/>
          <w:szCs w:val="26"/>
        </w:rPr>
        <w:t xml:space="preserve"> собственниками жилых помещений в многоквартирных домах,</w:t>
      </w:r>
      <w:r w:rsidRPr="008925B3">
        <w:rPr>
          <w:rFonts w:eastAsiaTheme="minorEastAsia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8925B3">
        <w:rPr>
          <w:rFonts w:eastAsiaTheme="minorEastAsia"/>
          <w:sz w:val="26"/>
          <w:szCs w:val="26"/>
        </w:rPr>
        <w:t>по ул. Станочной, 7, 9, 11, 13,</w:t>
      </w:r>
      <w:r w:rsidRPr="008925B3">
        <w:rPr>
          <w:rFonts w:eastAsiaTheme="minorEastAsia"/>
          <w:b/>
          <w:iCs/>
          <w:sz w:val="26"/>
          <w:szCs w:val="26"/>
        </w:rPr>
        <w:t xml:space="preserve"> </w:t>
      </w:r>
      <w:r w:rsidRPr="008925B3">
        <w:rPr>
          <w:rFonts w:eastAsiaTheme="minorEastAsia"/>
          <w:iCs/>
          <w:sz w:val="26"/>
          <w:szCs w:val="26"/>
        </w:rPr>
        <w:t xml:space="preserve">и земельных участков, на которых они расположены </w:t>
      </w:r>
      <w:r w:rsidRPr="008925B3">
        <w:rPr>
          <w:rFonts w:eastAsiaTheme="minorEastAsia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</w:t>
      </w:r>
      <w:proofErr w:type="gramEnd"/>
      <w:r w:rsidRPr="008925B3">
        <w:rPr>
          <w:rFonts w:eastAsiaTheme="minorEastAsia"/>
          <w:color w:val="000000" w:themeColor="text1"/>
          <w:sz w:val="26"/>
          <w:szCs w:val="26"/>
        </w:rPr>
        <w:t xml:space="preserve">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8925B3">
        <w:rPr>
          <w:rFonts w:eastAsiaTheme="minorEastAsia"/>
          <w:color w:val="333333"/>
          <w:sz w:val="26"/>
          <w:szCs w:val="26"/>
        </w:rPr>
        <w:t xml:space="preserve"> </w:t>
      </w:r>
      <w:r w:rsidRPr="008925B3">
        <w:rPr>
          <w:rFonts w:eastAsiaTheme="minorEastAsia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3.2.7.</w:t>
      </w:r>
      <w:r w:rsidRPr="008925B3">
        <w:rPr>
          <w:rFonts w:eastAsiaTheme="minorEastAsia"/>
          <w:b/>
          <w:sz w:val="26"/>
          <w:szCs w:val="26"/>
        </w:rPr>
        <w:t> </w:t>
      </w:r>
      <w:proofErr w:type="gramStart"/>
      <w:r w:rsidRPr="008925B3">
        <w:rPr>
          <w:rFonts w:eastAsiaTheme="minorEastAsia"/>
          <w:b/>
          <w:sz w:val="26"/>
          <w:szCs w:val="26"/>
        </w:rPr>
        <w:t xml:space="preserve">В течение 30 календарных дней </w:t>
      </w:r>
      <w:r w:rsidRPr="008925B3">
        <w:rPr>
          <w:rFonts w:eastAsiaTheme="minorEastAsia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</w:t>
      </w:r>
      <w:r w:rsidRPr="008925B3">
        <w:rPr>
          <w:rFonts w:eastAsiaTheme="minorEastAsia"/>
          <w:sz w:val="26"/>
          <w:szCs w:val="26"/>
        </w:rPr>
        <w:lastRenderedPageBreak/>
        <w:t>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8925B3" w:rsidRPr="008925B3" w:rsidRDefault="008925B3" w:rsidP="008925B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>3.2.8.</w:t>
      </w:r>
      <w:r w:rsidRPr="008925B3">
        <w:rPr>
          <w:rFonts w:eastAsiaTheme="minorEastAsia"/>
          <w:b/>
          <w:sz w:val="26"/>
          <w:szCs w:val="26"/>
        </w:rPr>
        <w:t> </w:t>
      </w:r>
      <w:r w:rsidRPr="008925B3">
        <w:rPr>
          <w:rFonts w:eastAsiaTheme="minorEastAsia"/>
          <w:sz w:val="26"/>
          <w:szCs w:val="26"/>
        </w:rPr>
        <w:t>Ежеквартально</w:t>
      </w:r>
      <w:r w:rsidRPr="008925B3">
        <w:rPr>
          <w:rFonts w:eastAsiaTheme="minorEastAsia"/>
          <w:b/>
          <w:sz w:val="26"/>
          <w:szCs w:val="26"/>
        </w:rPr>
        <w:t xml:space="preserve">, не позднее 10 числа месяца, следующего за </w:t>
      </w:r>
      <w:proofErr w:type="gramStart"/>
      <w:r w:rsidRPr="008925B3">
        <w:rPr>
          <w:rFonts w:eastAsiaTheme="minorEastAsia"/>
          <w:b/>
          <w:sz w:val="26"/>
          <w:szCs w:val="26"/>
        </w:rPr>
        <w:t>отчетным</w:t>
      </w:r>
      <w:proofErr w:type="gramEnd"/>
      <w:r w:rsidRPr="008925B3">
        <w:rPr>
          <w:rFonts w:eastAsiaTheme="minorEastAsia"/>
          <w:b/>
          <w:sz w:val="26"/>
          <w:szCs w:val="26"/>
        </w:rPr>
        <w:t xml:space="preserve">, </w:t>
      </w:r>
      <w:r w:rsidRPr="008925B3">
        <w:rPr>
          <w:rFonts w:eastAsiaTheme="minorEastAsia"/>
          <w:sz w:val="26"/>
          <w:szCs w:val="26"/>
        </w:rPr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3.3. Инвестор имеет право: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3.3.2. Приобретать права </w:t>
      </w:r>
      <w:proofErr w:type="gramStart"/>
      <w:r w:rsidRPr="008925B3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8925B3">
        <w:rPr>
          <w:sz w:val="26"/>
          <w:szCs w:val="26"/>
        </w:rPr>
        <w:t>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3.3.3. Инициировать внесение необходимых изменений в Договор.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 Инвестор обязуется: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3.4.1. </w:t>
      </w:r>
      <w:proofErr w:type="gramStart"/>
      <w:r w:rsidRPr="008925B3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8925B3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8925B3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8925B3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8925B3">
        <w:rPr>
          <w:b/>
          <w:bCs/>
          <w:sz w:val="26"/>
          <w:szCs w:val="26"/>
        </w:rPr>
        <w:t>не позднее 1 года</w:t>
      </w:r>
      <w:r w:rsidRPr="008925B3">
        <w:rPr>
          <w:sz w:val="26"/>
          <w:szCs w:val="26"/>
        </w:rPr>
        <w:t xml:space="preserve"> с момента заключения настоящего Договора.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3.4.2. </w:t>
      </w:r>
      <w:proofErr w:type="gramStart"/>
      <w:r w:rsidRPr="008925B3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8925B3">
        <w:rPr>
          <w:b/>
          <w:sz w:val="26"/>
          <w:szCs w:val="26"/>
        </w:rPr>
        <w:t xml:space="preserve"> </w:t>
      </w:r>
      <w:r w:rsidRPr="008925B3">
        <w:rPr>
          <w:sz w:val="26"/>
          <w:szCs w:val="26"/>
        </w:rPr>
        <w:t xml:space="preserve">по ул. Станочной, 7, 9, 11, 13, </w:t>
      </w:r>
      <w:r w:rsidRPr="008925B3">
        <w:rPr>
          <w:b/>
          <w:sz w:val="26"/>
          <w:szCs w:val="26"/>
        </w:rPr>
        <w:t>в течение</w:t>
      </w:r>
      <w:proofErr w:type="gramEnd"/>
      <w:r w:rsidRPr="008925B3">
        <w:rPr>
          <w:b/>
          <w:color w:val="000000"/>
          <w:sz w:val="26"/>
          <w:szCs w:val="26"/>
        </w:rPr>
        <w:t xml:space="preserve"> 4-х лет </w:t>
      </w:r>
      <w:proofErr w:type="gramStart"/>
      <w:r w:rsidRPr="008925B3">
        <w:rPr>
          <w:sz w:val="26"/>
          <w:szCs w:val="26"/>
        </w:rPr>
        <w:t>со</w:t>
      </w:r>
      <w:proofErr w:type="gramEnd"/>
      <w:r w:rsidRPr="008925B3">
        <w:rPr>
          <w:sz w:val="26"/>
          <w:szCs w:val="26"/>
        </w:rPr>
        <w:t xml:space="preserve"> даты подписания Договора в соответствии с Приложением 2 к настоящему Договору.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Станочной, 7, 9, 11, 13, указан в Приложении 3 к настоящему Договору.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925B3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8925B3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8925B3" w:rsidRPr="008925B3" w:rsidRDefault="008925B3" w:rsidP="008925B3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8925B3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8925B3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8925B3">
        <w:rPr>
          <w:b/>
          <w:color w:val="000000" w:themeColor="text1"/>
          <w:sz w:val="26"/>
          <w:szCs w:val="26"/>
        </w:rPr>
        <w:t xml:space="preserve">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3.4.3. </w:t>
      </w:r>
      <w:proofErr w:type="gramStart"/>
      <w:r w:rsidRPr="008925B3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8925B3">
        <w:rPr>
          <w:iCs/>
          <w:color w:val="000000" w:themeColor="text1"/>
          <w:sz w:val="26"/>
          <w:szCs w:val="26"/>
        </w:rPr>
        <w:t>расположенные</w:t>
      </w:r>
      <w:r w:rsidRPr="008925B3">
        <w:rPr>
          <w:color w:val="000000" w:themeColor="text1"/>
          <w:sz w:val="26"/>
          <w:szCs w:val="26"/>
        </w:rPr>
        <w:t xml:space="preserve"> в многоквартирных домах,</w:t>
      </w:r>
      <w:r w:rsidRPr="008925B3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</w:t>
      </w:r>
      <w:r w:rsidRPr="008925B3">
        <w:t xml:space="preserve"> </w:t>
      </w:r>
      <w:r w:rsidRPr="008925B3">
        <w:rPr>
          <w:iCs/>
          <w:color w:val="000000" w:themeColor="text1"/>
          <w:sz w:val="26"/>
          <w:szCs w:val="26"/>
        </w:rPr>
        <w:t>в границах Территории по</w:t>
      </w:r>
      <w:r w:rsidRPr="008925B3">
        <w:rPr>
          <w:sz w:val="26"/>
          <w:szCs w:val="26"/>
        </w:rPr>
        <w:t xml:space="preserve"> ул. Станочной, 7, 9, 11, 13</w:t>
      </w:r>
      <w:r w:rsidRPr="008925B3">
        <w:rPr>
          <w:color w:val="000000" w:themeColor="text1"/>
          <w:sz w:val="26"/>
          <w:szCs w:val="26"/>
        </w:rPr>
        <w:t xml:space="preserve">, указанные в </w:t>
      </w:r>
      <w:r w:rsidRPr="008925B3">
        <w:rPr>
          <w:sz w:val="26"/>
          <w:szCs w:val="26"/>
        </w:rPr>
        <w:t xml:space="preserve">Приложении 3 к настоящему Договору, </w:t>
      </w:r>
      <w:r w:rsidRPr="008925B3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8925B3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8925B3">
        <w:rPr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8925B3" w:rsidRPr="008925B3" w:rsidRDefault="008925B3" w:rsidP="008925B3">
      <w:pPr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3.4.4. </w:t>
      </w:r>
      <w:proofErr w:type="gramStart"/>
      <w:r w:rsidRPr="008925B3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 Станочной, 7, 9, 11, 13, а также предоставить Администрации документы, подтверждающие произведенный снос, </w:t>
      </w:r>
      <w:r w:rsidRPr="008925B3">
        <w:rPr>
          <w:b/>
          <w:sz w:val="26"/>
          <w:szCs w:val="26"/>
        </w:rPr>
        <w:t xml:space="preserve">в течение 1 месяца </w:t>
      </w:r>
      <w:r w:rsidRPr="008925B3">
        <w:rPr>
          <w:sz w:val="26"/>
          <w:szCs w:val="26"/>
        </w:rPr>
        <w:t>со дня предоставления Администрацией письменной заявки о сносе домов, в связи с их освобождением всеми гражданами, проживавшими в данных домах.</w:t>
      </w:r>
      <w:proofErr w:type="gramEnd"/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8925B3">
        <w:rPr>
          <w:rFonts w:eastAsiaTheme="minorEastAsia"/>
          <w:color w:val="000000" w:themeColor="text1"/>
          <w:sz w:val="26"/>
          <w:szCs w:val="26"/>
        </w:rPr>
        <w:t xml:space="preserve">3.4.5. </w:t>
      </w:r>
      <w:r w:rsidRPr="008925B3">
        <w:rPr>
          <w:rFonts w:eastAsiaTheme="minorHAnsi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8925B3">
        <w:rPr>
          <w:color w:val="000000" w:themeColor="text1"/>
          <w:sz w:val="26"/>
          <w:szCs w:val="26"/>
        </w:rPr>
        <w:t xml:space="preserve">обеспечить </w:t>
      </w:r>
      <w:r w:rsidRPr="008925B3">
        <w:rPr>
          <w:rFonts w:eastAsiaTheme="minorHAnsi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8925B3">
        <w:rPr>
          <w:rFonts w:eastAsiaTheme="minorEastAsia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8925B3" w:rsidRPr="008925B3" w:rsidRDefault="008925B3" w:rsidP="008925B3">
      <w:pPr>
        <w:ind w:firstLine="540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3.4.6. </w:t>
      </w:r>
      <w:proofErr w:type="gramStart"/>
      <w:r w:rsidRPr="008925B3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8925B3">
        <w:rPr>
          <w:sz w:val="26"/>
          <w:szCs w:val="26"/>
        </w:rPr>
        <w:t xml:space="preserve"> и межевания</w:t>
      </w:r>
      <w:r w:rsidRPr="008925B3">
        <w:rPr>
          <w:rFonts w:eastAsiaTheme="minorHAnsi"/>
          <w:sz w:val="26"/>
          <w:szCs w:val="26"/>
        </w:rPr>
        <w:t xml:space="preserve"> Территории,</w:t>
      </w:r>
      <w:r w:rsidRPr="008925B3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8925B3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8925B3">
        <w:rPr>
          <w:b/>
          <w:sz w:val="26"/>
          <w:szCs w:val="26"/>
        </w:rPr>
        <w:t xml:space="preserve"> </w:t>
      </w:r>
      <w:r w:rsidRPr="008925B3">
        <w:rPr>
          <w:sz w:val="26"/>
          <w:szCs w:val="26"/>
        </w:rPr>
        <w:t>в срок, установленный пунктом 4.1. настоящего Договора.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8925B3">
        <w:rPr>
          <w:b/>
          <w:sz w:val="26"/>
          <w:szCs w:val="26"/>
        </w:rPr>
        <w:t xml:space="preserve">не позднее </w:t>
      </w:r>
      <w:r w:rsidRPr="008925B3">
        <w:rPr>
          <w:b/>
          <w:bCs/>
          <w:sz w:val="26"/>
          <w:szCs w:val="26"/>
        </w:rPr>
        <w:t>4 месяцев</w:t>
      </w:r>
      <w:r w:rsidRPr="008925B3">
        <w:rPr>
          <w:sz w:val="26"/>
          <w:szCs w:val="26"/>
        </w:rPr>
        <w:t xml:space="preserve"> </w:t>
      </w:r>
      <w:proofErr w:type="gramStart"/>
      <w:r w:rsidRPr="008925B3">
        <w:rPr>
          <w:sz w:val="26"/>
          <w:szCs w:val="26"/>
        </w:rPr>
        <w:t>с даты получения</w:t>
      </w:r>
      <w:proofErr w:type="gramEnd"/>
      <w:r w:rsidRPr="008925B3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3.4.9. Ежеквартально </w:t>
      </w:r>
      <w:r w:rsidRPr="008925B3">
        <w:rPr>
          <w:b/>
          <w:sz w:val="26"/>
          <w:szCs w:val="26"/>
        </w:rPr>
        <w:t>не позднее 10-го числа месяца</w:t>
      </w:r>
      <w:r w:rsidRPr="008925B3">
        <w:rPr>
          <w:sz w:val="26"/>
          <w:szCs w:val="26"/>
        </w:rPr>
        <w:t xml:space="preserve">, следующего за </w:t>
      </w:r>
      <w:proofErr w:type="gramStart"/>
      <w:r w:rsidRPr="008925B3">
        <w:rPr>
          <w:sz w:val="26"/>
          <w:szCs w:val="26"/>
        </w:rPr>
        <w:t>отчетным</w:t>
      </w:r>
      <w:proofErr w:type="gramEnd"/>
      <w:r w:rsidRPr="008925B3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4. Срок действия Договора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8925B3">
        <w:rPr>
          <w:rFonts w:eastAsiaTheme="minorEastAsia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8925B3">
        <w:rPr>
          <w:rFonts w:eastAsiaTheme="minorEastAsia"/>
          <w:b/>
          <w:sz w:val="26"/>
          <w:szCs w:val="26"/>
        </w:rPr>
        <w:t xml:space="preserve">в течение 7 лет </w:t>
      </w:r>
      <w:r w:rsidRPr="008925B3">
        <w:rPr>
          <w:rFonts w:eastAsiaTheme="minorEastAsia"/>
          <w:sz w:val="26"/>
          <w:szCs w:val="26"/>
        </w:rPr>
        <w:t>(до «____» ______ 2025 г.).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4.3.1. По основаниям, </w:t>
      </w:r>
      <w:r w:rsidRPr="008925B3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В этих случаях Администрация не менее чем</w:t>
      </w:r>
      <w:r w:rsidRPr="008925B3">
        <w:rPr>
          <w:b/>
          <w:sz w:val="26"/>
          <w:szCs w:val="26"/>
        </w:rPr>
        <w:t xml:space="preserve"> за 30 дней</w:t>
      </w:r>
      <w:r w:rsidRPr="008925B3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8925B3" w:rsidRPr="008925B3" w:rsidRDefault="008925B3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В этих случаях Инвестор не менее чем </w:t>
      </w:r>
      <w:r w:rsidRPr="008925B3">
        <w:rPr>
          <w:b/>
          <w:sz w:val="26"/>
          <w:szCs w:val="26"/>
        </w:rPr>
        <w:t>за 30 дней</w:t>
      </w:r>
      <w:r w:rsidRPr="008925B3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8925B3" w:rsidRDefault="008925B3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2008" w:rsidRPr="008925B3" w:rsidRDefault="00162008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5. Ответственность Сторон</w:t>
      </w:r>
    </w:p>
    <w:p w:rsidR="008925B3" w:rsidRPr="008925B3" w:rsidRDefault="008925B3" w:rsidP="008925B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925B3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8925B3">
        <w:rPr>
          <w:color w:val="333333"/>
          <w:sz w:val="26"/>
          <w:szCs w:val="26"/>
        </w:rPr>
        <w:t xml:space="preserve"> </w:t>
      </w:r>
      <w:r w:rsidRPr="008925B3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8925B3">
        <w:rPr>
          <w:rFonts w:eastAsiaTheme="minorEastAsia"/>
          <w:color w:val="000000" w:themeColor="text1"/>
          <w:sz w:val="26"/>
          <w:szCs w:val="26"/>
        </w:rPr>
        <w:t>5.3. Уплата неустойки</w:t>
      </w:r>
      <w:r w:rsidRPr="008925B3">
        <w:rPr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8925B3">
        <w:rPr>
          <w:rFonts w:eastAsiaTheme="minorEastAsia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8925B3">
        <w:rPr>
          <w:sz w:val="26"/>
          <w:szCs w:val="26"/>
        </w:rPr>
        <w:t>не достижения</w:t>
      </w:r>
      <w:proofErr w:type="gramEnd"/>
      <w:r w:rsidRPr="008925B3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6. Форс-мажорные обстоятельства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6.1. </w:t>
      </w:r>
      <w:proofErr w:type="gramStart"/>
      <w:r w:rsidRPr="008925B3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8925B3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8925B3" w:rsidRPr="008925B3" w:rsidRDefault="008925B3" w:rsidP="008925B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925B3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8925B3">
        <w:rPr>
          <w:b/>
          <w:color w:val="000000"/>
          <w:sz w:val="26"/>
          <w:szCs w:val="26"/>
        </w:rPr>
        <w:t>в течение 10 дней</w:t>
      </w:r>
      <w:r w:rsidRPr="008925B3">
        <w:rPr>
          <w:color w:val="000000"/>
          <w:sz w:val="26"/>
          <w:szCs w:val="26"/>
        </w:rPr>
        <w:t xml:space="preserve"> с момента наступления  </w:t>
      </w:r>
      <w:r w:rsidRPr="008925B3">
        <w:rPr>
          <w:sz w:val="26"/>
          <w:szCs w:val="26"/>
        </w:rPr>
        <w:t xml:space="preserve">обстоятельств непреодолимой силы и </w:t>
      </w:r>
      <w:r w:rsidRPr="008925B3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7. Заключительные положения</w:t>
      </w:r>
    </w:p>
    <w:p w:rsidR="008925B3" w:rsidRPr="008925B3" w:rsidRDefault="008925B3" w:rsidP="008925B3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8925B3" w:rsidRPr="008925B3" w:rsidRDefault="008925B3" w:rsidP="008925B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8925B3" w:rsidRPr="008925B3" w:rsidRDefault="008925B3" w:rsidP="008925B3">
      <w:pPr>
        <w:tabs>
          <w:tab w:val="left" w:pos="0"/>
          <w:tab w:val="left" w:pos="1080"/>
        </w:tabs>
        <w:ind w:firstLine="709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8925B3">
        <w:rPr>
          <w:sz w:val="26"/>
          <w:szCs w:val="26"/>
        </w:rPr>
        <w:t>которых</w:t>
      </w:r>
      <w:proofErr w:type="gramEnd"/>
      <w:r w:rsidRPr="008925B3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8925B3" w:rsidRPr="008925B3" w:rsidRDefault="008925B3" w:rsidP="008925B3">
      <w:pPr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708"/>
          <w:tab w:val="left" w:pos="1080"/>
        </w:tabs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8. Юридические адреса и реквизиты Сторон</w:t>
      </w:r>
    </w:p>
    <w:p w:rsidR="008925B3" w:rsidRPr="008925B3" w:rsidRDefault="008925B3" w:rsidP="008925B3">
      <w:pPr>
        <w:widowControl w:val="0"/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Инвестор: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8925B3" w:rsidRPr="008925B3" w:rsidTr="007E2D81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Департамент градостроительства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  <w:lang w:eastAsia="en-US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Юридический адрес: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660049, г. Красноярск,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Банковские реквизиты: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ИНН 2466216619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УФК по Красноярскому краю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(Департамент градостроительства</w:t>
            </w:r>
            <w:proofErr w:type="gramEnd"/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Красноярска,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лицевой счет № 04193005720)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bCs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р</w:t>
            </w:r>
            <w:proofErr w:type="gramEnd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/с № 4</w:t>
            </w:r>
            <w:r w:rsidRPr="008925B3">
              <w:rPr>
                <w:rFonts w:eastAsia="ヒラギノ角ゴ Pro W3"/>
                <w:b/>
                <w:bCs/>
                <w:color w:val="000000"/>
                <w:spacing w:val="-4"/>
                <w:sz w:val="26"/>
                <w:szCs w:val="26"/>
              </w:rPr>
              <w:t>0101810600000010001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7E2D81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ОТДЕЛЕНИЕ КРАСНОЯРСК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Г. КРАСНОЯРСК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БИК 040407001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КБК 90911705040040000180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       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(подпись)                                                             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1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№ </w:t>
            </w:r>
            <w:proofErr w:type="gramStart"/>
            <w:r w:rsidRPr="008925B3">
              <w:rPr>
                <w:sz w:val="26"/>
                <w:szCs w:val="26"/>
              </w:rPr>
              <w:t>п</w:t>
            </w:r>
            <w:proofErr w:type="gramEnd"/>
            <w:r w:rsidRPr="008925B3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название улицы</w:t>
            </w:r>
          </w:p>
          <w:p w:rsidR="008925B3" w:rsidRPr="008925B3" w:rsidRDefault="008925B3" w:rsidP="008925B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этажность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8925B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8925B3">
              <w:rPr>
                <w:kern w:val="3"/>
                <w:sz w:val="26"/>
                <w:szCs w:val="26"/>
              </w:rPr>
              <w:t>2</w:t>
            </w:r>
          </w:p>
        </w:tc>
      </w:tr>
    </w:tbl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____________________   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8925B3">
        <w:rPr>
          <w:sz w:val="26"/>
          <w:szCs w:val="26"/>
        </w:rPr>
        <w:br w:type="page"/>
      </w:r>
    </w:p>
    <w:p w:rsidR="008925B3" w:rsidRPr="008925B3" w:rsidRDefault="008925B3" w:rsidP="008925B3">
      <w:pPr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2 к Договору</w:t>
      </w:r>
    </w:p>
    <w:p w:rsidR="008925B3" w:rsidRPr="008925B3" w:rsidRDefault="008925B3" w:rsidP="008925B3">
      <w:pPr>
        <w:widowControl w:val="0"/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Style w:val="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1741"/>
        <w:gridCol w:w="2268"/>
        <w:gridCol w:w="1559"/>
        <w:gridCol w:w="1560"/>
      </w:tblGrid>
      <w:tr w:rsidR="008925B3" w:rsidRPr="008925B3" w:rsidTr="007E2D81">
        <w:trPr>
          <w:trHeight w:val="384"/>
        </w:trPr>
        <w:tc>
          <w:tcPr>
            <w:tcW w:w="709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№ </w:t>
            </w:r>
            <w:proofErr w:type="gramStart"/>
            <w:r w:rsidRPr="008925B3">
              <w:rPr>
                <w:sz w:val="26"/>
                <w:szCs w:val="26"/>
              </w:rPr>
              <w:t>п</w:t>
            </w:r>
            <w:proofErr w:type="gramEnd"/>
            <w:r w:rsidRPr="008925B3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Количество комнат </w:t>
            </w:r>
          </w:p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proofErr w:type="gramStart"/>
            <w:r w:rsidRPr="008925B3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Примечание</w:t>
            </w:r>
          </w:p>
        </w:tc>
      </w:tr>
      <w:tr w:rsidR="008925B3" w:rsidRPr="008925B3" w:rsidTr="007E2D81">
        <w:trPr>
          <w:trHeight w:val="720"/>
        </w:trPr>
        <w:tc>
          <w:tcPr>
            <w:tcW w:w="709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925B3" w:rsidRPr="008925B3" w:rsidRDefault="008925B3" w:rsidP="008925B3">
            <w:pPr>
              <w:keepLines/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количество нанимате</w:t>
            </w:r>
            <w:r w:rsidR="00D2232F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лей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7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27,8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ком.1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74,8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78,0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9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14,15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20,0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16,5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16,7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47,3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34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11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31,4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15,9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23,0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c>
          <w:tcPr>
            <w:tcW w:w="9498" w:type="dxa"/>
            <w:gridSpan w:val="6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925B3">
              <w:rPr>
                <w:sz w:val="26"/>
                <w:szCs w:val="26"/>
              </w:rPr>
              <w:t>Станочной</w:t>
            </w:r>
            <w:proofErr w:type="gramEnd"/>
            <w:r w:rsidRPr="008925B3">
              <w:rPr>
                <w:sz w:val="26"/>
                <w:szCs w:val="26"/>
              </w:rPr>
              <w:t>, 13</w:t>
            </w:r>
          </w:p>
        </w:tc>
      </w:tr>
      <w:tr w:rsidR="008925B3" w:rsidRPr="008925B3" w:rsidTr="007E2D81">
        <w:tc>
          <w:tcPr>
            <w:tcW w:w="70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66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51,9</w:t>
            </w:r>
          </w:p>
        </w:tc>
        <w:tc>
          <w:tcPr>
            <w:tcW w:w="1559" w:type="dxa"/>
          </w:tcPr>
          <w:p w:rsidR="008925B3" w:rsidRPr="008925B3" w:rsidRDefault="008925B3" w:rsidP="008925B3">
            <w:pPr>
              <w:widowControl w:val="0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ком.2</w:t>
            </w:r>
          </w:p>
        </w:tc>
        <w:tc>
          <w:tcPr>
            <w:tcW w:w="1560" w:type="dxa"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</w:tbl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 (подпись)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</w:p>
    <w:p w:rsidR="008925B3" w:rsidRPr="008925B3" w:rsidRDefault="008925B3" w:rsidP="008925B3">
      <w:pPr>
        <w:ind w:left="5954"/>
        <w:jc w:val="both"/>
      </w:pPr>
    </w:p>
    <w:p w:rsidR="008925B3" w:rsidRPr="008925B3" w:rsidRDefault="008925B3" w:rsidP="008925B3">
      <w:pPr>
        <w:spacing w:after="200" w:line="276" w:lineRule="auto"/>
      </w:pPr>
      <w:r w:rsidRPr="008925B3"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3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аварийным и подлежащим сносу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8925B3" w:rsidRPr="008925B3" w:rsidTr="007E2D81">
        <w:trPr>
          <w:cantSplit/>
          <w:trHeight w:val="32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№ </w:t>
            </w:r>
            <w:proofErr w:type="gramStart"/>
            <w:r w:rsidRPr="008925B3">
              <w:rPr>
                <w:sz w:val="26"/>
                <w:szCs w:val="26"/>
              </w:rPr>
              <w:t>п</w:t>
            </w:r>
            <w:proofErr w:type="gramEnd"/>
            <w:r w:rsidRPr="008925B3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Номер </w:t>
            </w:r>
          </w:p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C8707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8925B3">
              <w:rPr>
                <w:sz w:val="26"/>
                <w:szCs w:val="26"/>
              </w:rPr>
              <w:t>собствен</w:t>
            </w:r>
            <w:r w:rsidR="00C87079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ников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</w:t>
            </w:r>
            <w:r w:rsidR="00C87079">
              <w:rPr>
                <w:sz w:val="26"/>
                <w:szCs w:val="26"/>
              </w:rPr>
              <w:t>ж</w:t>
            </w:r>
            <w:r w:rsidRPr="008925B3">
              <w:rPr>
                <w:sz w:val="26"/>
                <w:szCs w:val="26"/>
              </w:rPr>
              <w:t>илого помещения</w:t>
            </w:r>
          </w:p>
        </w:tc>
      </w:tr>
      <w:tr w:rsidR="008925B3" w:rsidRPr="008925B3" w:rsidTr="00D2232F">
        <w:trPr>
          <w:cantSplit/>
          <w:trHeight w:val="1938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8925B3">
              <w:rPr>
                <w:sz w:val="26"/>
                <w:szCs w:val="26"/>
              </w:rPr>
              <w:t>предоставлен-</w:t>
            </w:r>
            <w:proofErr w:type="spellStart"/>
            <w:r w:rsidRPr="008925B3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по </w:t>
            </w:r>
            <w:proofErr w:type="spellStart"/>
            <w:r w:rsidRPr="008925B3">
              <w:rPr>
                <w:sz w:val="26"/>
                <w:szCs w:val="26"/>
              </w:rPr>
              <w:t>дого</w:t>
            </w:r>
            <w:proofErr w:type="spellEnd"/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 xml:space="preserve">вору </w:t>
            </w:r>
            <w:proofErr w:type="spellStart"/>
            <w:r w:rsidRPr="008925B3">
              <w:rPr>
                <w:sz w:val="26"/>
                <w:szCs w:val="26"/>
              </w:rPr>
              <w:t>социаль</w:t>
            </w:r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ного</w:t>
            </w:r>
            <w:proofErr w:type="spellEnd"/>
            <w:r w:rsidRPr="008925B3">
              <w:rPr>
                <w:sz w:val="26"/>
                <w:szCs w:val="26"/>
              </w:rPr>
              <w:t xml:space="preserve"> найма, </w:t>
            </w:r>
          </w:p>
          <w:p w:rsidR="008925B3" w:rsidRPr="008925B3" w:rsidRDefault="008925B3" w:rsidP="00DA2DC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договору </w:t>
            </w:r>
            <w:proofErr w:type="spellStart"/>
            <w:proofErr w:type="gramStart"/>
            <w:r w:rsidRPr="008925B3">
              <w:rPr>
                <w:sz w:val="26"/>
                <w:szCs w:val="26"/>
              </w:rPr>
              <w:t>най</w:t>
            </w:r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ма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</w:t>
            </w:r>
            <w:proofErr w:type="spellStart"/>
            <w:r w:rsidRPr="008925B3">
              <w:rPr>
                <w:sz w:val="26"/>
                <w:szCs w:val="26"/>
              </w:rPr>
              <w:t>специализи</w:t>
            </w:r>
            <w:r w:rsidR="00DA2DC2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рованного</w:t>
            </w:r>
            <w:proofErr w:type="spellEnd"/>
            <w:r w:rsidRPr="008925B3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C8707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8925B3">
              <w:rPr>
                <w:sz w:val="26"/>
                <w:szCs w:val="26"/>
              </w:rPr>
              <w:t>собствен</w:t>
            </w:r>
            <w:r w:rsidR="00C87079">
              <w:rPr>
                <w:sz w:val="26"/>
                <w:szCs w:val="26"/>
              </w:rPr>
              <w:t>-</w:t>
            </w:r>
            <w:r w:rsidRPr="008925B3">
              <w:rPr>
                <w:sz w:val="26"/>
                <w:szCs w:val="26"/>
              </w:rPr>
              <w:t>ности</w:t>
            </w:r>
            <w:proofErr w:type="spellEnd"/>
            <w:proofErr w:type="gramEnd"/>
            <w:r w:rsidRPr="008925B3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8925B3">
              <w:rPr>
                <w:sz w:val="26"/>
                <w:szCs w:val="26"/>
              </w:rPr>
              <w:t>муниципаль-ных</w:t>
            </w:r>
            <w:proofErr w:type="spellEnd"/>
            <w:r w:rsidRPr="008925B3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7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9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11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ind w:left="-54" w:right="-54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Ул. Станочная, 13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4, ком.2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4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3</w:t>
            </w:r>
          </w:p>
        </w:tc>
      </w:tr>
      <w:tr w:rsidR="008925B3" w:rsidRPr="008925B3" w:rsidTr="007E2D8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B3" w:rsidRPr="008925B3" w:rsidRDefault="008925B3" w:rsidP="008925B3">
            <w:pPr>
              <w:jc w:val="center"/>
              <w:rPr>
                <w:sz w:val="26"/>
                <w:szCs w:val="26"/>
              </w:rPr>
            </w:pPr>
            <w:r w:rsidRPr="008925B3">
              <w:rPr>
                <w:sz w:val="26"/>
                <w:szCs w:val="26"/>
              </w:rPr>
              <w:t>1</w:t>
            </w:r>
          </w:p>
        </w:tc>
      </w:tr>
    </w:tbl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       ________________________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0A67F0" w:rsidRPr="00BB2043" w:rsidRDefault="000A67F0" w:rsidP="008925B3">
      <w:pPr>
        <w:pStyle w:val="a3"/>
        <w:widowControl w:val="0"/>
      </w:pP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5" w:rsidRDefault="00561285" w:rsidP="008E2D97">
      <w:r>
        <w:separator/>
      </w:r>
    </w:p>
  </w:endnote>
  <w:endnote w:type="continuationSeparator" w:id="0">
    <w:p w:rsidR="00561285" w:rsidRDefault="00561285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5" w:rsidRDefault="00561285" w:rsidP="008E2D97">
      <w:r>
        <w:separator/>
      </w:r>
    </w:p>
  </w:footnote>
  <w:footnote w:type="continuationSeparator" w:id="0">
    <w:p w:rsidR="00561285" w:rsidRDefault="00561285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2008"/>
    <w:rsid w:val="0016746F"/>
    <w:rsid w:val="00170E0B"/>
    <w:rsid w:val="00171D5A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6235"/>
    <w:rsid w:val="001A7895"/>
    <w:rsid w:val="001B0E2C"/>
    <w:rsid w:val="001B1876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50A0"/>
    <w:rsid w:val="00206586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4F2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3039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C7A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E7069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AED"/>
    <w:rsid w:val="007148F6"/>
    <w:rsid w:val="00715AEE"/>
    <w:rsid w:val="007203CC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63F3"/>
    <w:rsid w:val="00750298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C71A1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5B3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0343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996"/>
    <w:rsid w:val="00A619FD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E5C"/>
    <w:rsid w:val="00D30A3B"/>
    <w:rsid w:val="00D30DC8"/>
    <w:rsid w:val="00D321F7"/>
    <w:rsid w:val="00D33530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43F2"/>
    <w:rsid w:val="00E856F6"/>
    <w:rsid w:val="00E85A05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17665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0FB80B-BB9C-48F0-86E1-2AF4E643FB3A}"/>
</file>

<file path=customXml/itemProps2.xml><?xml version="1.0" encoding="utf-8"?>
<ds:datastoreItem xmlns:ds="http://schemas.openxmlformats.org/officeDocument/2006/customXml" ds:itemID="{BDBAEBEE-69A2-4015-A49E-79008129A05B}"/>
</file>

<file path=customXml/itemProps3.xml><?xml version="1.0" encoding="utf-8"?>
<ds:datastoreItem xmlns:ds="http://schemas.openxmlformats.org/officeDocument/2006/customXml" ds:itemID="{FBCEC9B1-3967-4DAF-A4BE-59681FAA687E}"/>
</file>

<file path=customXml/itemProps4.xml><?xml version="1.0" encoding="utf-8"?>
<ds:datastoreItem xmlns:ds="http://schemas.openxmlformats.org/officeDocument/2006/customXml" ds:itemID="{4DADFF50-5290-47AA-80D4-8DB3FDDEC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36</Pages>
  <Words>11029</Words>
  <Characters>62867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Пазенко Ирина Валерьевна</cp:lastModifiedBy>
  <cp:revision>281</cp:revision>
  <cp:lastPrinted>2018-06-06T04:58:00Z</cp:lastPrinted>
  <dcterms:created xsi:type="dcterms:W3CDTF">2015-10-14T05:20:00Z</dcterms:created>
  <dcterms:modified xsi:type="dcterms:W3CDTF">2018-07-03T10:50:00Z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