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</w:pPr>
      <w:r>
        <w:rPr/>
        <w:drawing>
          <wp:inline distT="0" distB="0" distL="0" distR="0">
            <wp:extent cx="1257300" cy="7905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                </w:t>
      </w:r>
      <w:r/>
    </w:p>
    <w:p>
      <w:pPr>
        <w:pStyle w:val="Style20"/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</w:t>
      </w:r>
      <w:r/>
    </w:p>
    <w:p>
      <w:pPr>
        <w:pStyle w:val="Style20"/>
      </w:pPr>
      <w:r>
        <w:rPr>
          <w:color w:val="333333"/>
        </w:rPr>
        <w:t xml:space="preserve">                                       </w:t>
      </w:r>
      <w:r/>
    </w:p>
    <w:p>
      <w:pPr>
        <w:pStyle w:val="Style20"/>
        <w:spacing w:before="0" w:after="120"/>
        <w:rPr>
          <w:sz w:val="28"/>
          <w:sz w:val="28"/>
          <w:szCs w:val="28"/>
          <w:rFonts w:ascii="Times New Roman" w:hAnsi="Times New Roman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tLeast" w:line="100"/>
        <w:rPr>
          <w:sz w:val="28"/>
          <w:sz w:val="28"/>
          <w:szCs w:val="28"/>
          <w:rFonts w:ascii="Times New Roman" w:hAnsi="Times New Roman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uto" w:line="360"/>
        <w:ind w:left="0" w:right="0" w:firstLine="709"/>
        <w:rPr>
          <w:sz w:val="28"/>
          <w:sz w:val="28"/>
          <w:szCs w:val="28"/>
          <w:rFonts w:ascii="Times New Roman" w:hAnsi="Times New Roman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uto" w:line="360"/>
        <w:ind w:left="284" w:right="0" w:firstLine="567"/>
        <w:jc w:val="both"/>
      </w:pPr>
      <w:r>
        <w:rPr>
          <w:color w:val="333333"/>
          <w:sz w:val="32"/>
          <w:szCs w:val="32"/>
        </w:rPr>
        <w:t xml:space="preserve">Согласно  утвержденной </w:t>
      </w:r>
      <w:r>
        <w:rPr>
          <w:sz w:val="32"/>
          <w:szCs w:val="32"/>
        </w:rPr>
        <w:t>общим собранием членов ТСЖ</w:t>
      </w:r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20</w:t>
      </w:r>
      <w:r>
        <w:rPr>
          <w:color w:val="333333"/>
          <w:sz w:val="32"/>
          <w:szCs w:val="32"/>
        </w:rPr>
        <w:t>.</w:t>
      </w:r>
      <w:r>
        <w:rPr>
          <w:sz w:val="32"/>
          <w:szCs w:val="32"/>
        </w:rPr>
        <w:t>.0</w:t>
      </w:r>
      <w:r>
        <w:rPr>
          <w:sz w:val="32"/>
          <w:szCs w:val="32"/>
        </w:rPr>
        <w:t>1</w:t>
      </w:r>
      <w:r>
        <w:rPr>
          <w:sz w:val="32"/>
          <w:szCs w:val="32"/>
        </w:rPr>
        <w:t>.201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г </w:t>
      </w:r>
      <w:r>
        <w:rPr>
          <w:color w:val="333333"/>
          <w:sz w:val="32"/>
          <w:szCs w:val="32"/>
        </w:rPr>
        <w:t>смете расходов  и договоров с подрядными организациями  устанавливается следующий размер обязательных платежей и взносов в 201</w:t>
      </w:r>
      <w:r>
        <w:rPr>
          <w:color w:val="333333"/>
          <w:sz w:val="32"/>
          <w:szCs w:val="32"/>
        </w:rPr>
        <w:t>5</w:t>
      </w:r>
      <w:r>
        <w:rPr>
          <w:color w:val="333333"/>
          <w:sz w:val="32"/>
          <w:szCs w:val="32"/>
        </w:rPr>
        <w:t xml:space="preserve"> году:</w:t>
      </w:r>
      <w:r/>
    </w:p>
    <w:p>
      <w:pPr>
        <w:pStyle w:val="ListParagraph"/>
        <w:numPr>
          <w:ilvl w:val="0"/>
          <w:numId w:val="1"/>
        </w:numPr>
        <w:spacing w:lineRule="auto" w:line="360"/>
      </w:pPr>
      <w:r>
        <w:rPr>
          <w:color w:val="333333"/>
          <w:sz w:val="32"/>
          <w:szCs w:val="32"/>
        </w:rPr>
        <w:t>На содержание и текущий ремонт общего имущества</w:t>
      </w:r>
      <w:r/>
    </w:p>
    <w:p>
      <w:pPr>
        <w:pStyle w:val="ListParagraph"/>
        <w:spacing w:lineRule="auto" w:line="360"/>
      </w:pPr>
      <w:r>
        <w:rPr>
          <w:color w:val="333333"/>
          <w:sz w:val="32"/>
          <w:szCs w:val="32"/>
        </w:rPr>
        <w:t>- 18,62 руб./кв.м.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>2. В резервный фонд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     </w:t>
      </w:r>
      <w:r>
        <w:rPr>
          <w:color w:val="333333"/>
          <w:sz w:val="32"/>
          <w:szCs w:val="32"/>
        </w:rPr>
        <w:t xml:space="preserve">- 1,38 руб./кв.м.  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>3. Вывоз ТБО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     </w:t>
      </w:r>
      <w:r>
        <w:rPr>
          <w:color w:val="333333"/>
          <w:sz w:val="32"/>
          <w:szCs w:val="32"/>
        </w:rPr>
        <w:t xml:space="preserve">- 1,62 руб./кв.м.  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>4. Содержание лифтов</w:t>
      </w:r>
      <w:r/>
    </w:p>
    <w:p>
      <w:pPr>
        <w:pStyle w:val="Normal"/>
        <w:spacing w:lineRule="auto" w:line="360"/>
      </w:pPr>
      <w:r>
        <w:rPr>
          <w:color w:val="333333"/>
          <w:sz w:val="32"/>
          <w:szCs w:val="32"/>
        </w:rPr>
        <w:t xml:space="preserve">         </w:t>
      </w:r>
      <w:r>
        <w:rPr>
          <w:color w:val="333333"/>
          <w:sz w:val="32"/>
          <w:szCs w:val="32"/>
        </w:rPr>
        <w:t xml:space="preserve">- 4,39 руб./кв.м.  </w:t>
      </w:r>
      <w:r/>
    </w:p>
    <w:p>
      <w:pPr>
        <w:pStyle w:val="Normal"/>
        <w:spacing w:lineRule="atLeast" w:line="100" w:before="0" w:after="200"/>
      </w:pPr>
      <w:r>
        <w:rPr>
          <w:color w:val="333333"/>
          <w:sz w:val="32"/>
          <w:szCs w:val="32"/>
        </w:rPr>
        <w:t xml:space="preserve">    </w:t>
      </w:r>
      <w:r/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Calibri"/>
      <w:color w:val="00000A"/>
      <w:sz w:val="28"/>
      <w:szCs w:val="28"/>
      <w:lang w:val="ru-RU" w:eastAsia="en-US" w:bidi="ar-SA"/>
    </w:rPr>
  </w:style>
  <w:style w:type="character" w:styleId="DefaultParagraphFont">
    <w:name w:val="Default Paragraph Font"/>
    <w:rPr/>
  </w:style>
  <w:style w:type="character" w:styleId="Style1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0">
    <w:name w:val="Содержимое врезки"/>
    <w:basedOn w:val="Style16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0C619-A0CF-4EFB-8753-F894BB9A0A1A}"/>
</file>

<file path=customXml/itemProps2.xml><?xml version="1.0" encoding="utf-8"?>
<ds:datastoreItem xmlns:ds="http://schemas.openxmlformats.org/officeDocument/2006/customXml" ds:itemID="{355D0076-5FBE-4052-BC76-8D38BBB9D971}"/>
</file>

<file path=customXml/itemProps3.xml><?xml version="1.0" encoding="utf-8"?>
<ds:datastoreItem xmlns:ds="http://schemas.openxmlformats.org/officeDocument/2006/customXml" ds:itemID="{A254CD8E-4CD3-49B8-8ADA-23A9372D8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21</cp:revision>
  <cp:lastPrinted>2013-03-21T12:22:00Z</cp:lastPrinted>
  <dcterms:created xsi:type="dcterms:W3CDTF">2011-11-21T03:43:00Z</dcterms:created>
  <dcterms:modified xsi:type="dcterms:W3CDTF">2015-02-14T18:06:10Z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