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</w:pPr>
      <w:r>
        <w:rPr/>
        <w:drawing>
          <wp:inline distT="0" distB="0" distL="0" distR="0">
            <wp:extent cx="1257300" cy="932815"/>
            <wp:effectExtent l="0" t="0" r="0" b="0"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3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column">
                  <wp:posOffset>314325</wp:posOffset>
                </wp:positionH>
                <wp:positionV relativeFrom="paragraph">
                  <wp:posOffset>-61595</wp:posOffset>
                </wp:positionV>
                <wp:extent cx="6083300" cy="190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2560" cy="1440"/>
                        </a:xfrm>
                        <a:prstGeom prst="straightConnector1">
                          <a:avLst/>
                        </a:prstGeom>
                        <a:noFill/>
                        <a:ln>
                          <a:solidFill>
                            <a:srgbClr val="365f91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stroked="t" style="position:absolute;margin-left:24.75pt;margin-top:-4.85pt;width:478.9pt;height:0.05pt" type="shapetype_32">
                <w10:wrap type="none"/>
                <v:fill on="false" o:detectmouseclick="t"/>
                <v:stroke color="#365f91" joinstyle="round" endcap="flat"/>
              </v:shape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2654935</wp:posOffset>
                </wp:positionH>
                <wp:positionV relativeFrom="paragraph">
                  <wp:posOffset>73660</wp:posOffset>
                </wp:positionV>
                <wp:extent cx="2628900" cy="1024255"/>
                <wp:effectExtent l="0" t="0" r="0" b="0"/>
                <wp:wrapSquare wrapText="bothSides"/>
                <wp:docPr id="3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0242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Style20"/>
                              <w:spacing w:before="0" w:after="200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Сведения о поставщиках и ценах на коммунальные ресурсы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width:207pt;height:80.65pt;mso-wrap-distance-left:9pt;mso-wrap-distance-right:9pt;mso-wrap-distance-top:0pt;mso-wrap-distance-bottom:0pt;margin-top:5.8pt;mso-position-vertical-relative:text;margin-left:209.05pt;mso-position-horizontal-relative:text">
                <v:textbox>
                  <w:txbxContent>
                    <w:p>
                      <w:pPr>
                        <w:pStyle w:val="Style20"/>
                        <w:spacing w:before="0" w:after="200"/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Сведения о поставщиках и ценах на коммунальные ресурсы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pStyle w:val="Normal"/>
        <w:spacing w:lineRule="auto" w:line="240"/>
      </w:pPr>
      <w:r>
        <w:rPr>
          <w:b/>
        </w:rPr>
        <w:t>ПОСТАВЩИКИ КОММУНАЛЬНЫХ УСЛУГ ПО ТСЖ «АФОНТОВСКОЕ»:</w:t>
      </w:r>
      <w:r/>
    </w:p>
    <w:p>
      <w:pPr>
        <w:pStyle w:val="Normal"/>
        <w:spacing w:lineRule="auto" w:line="240"/>
      </w:pPr>
      <w:r>
        <w:rPr>
          <w:b/>
        </w:rPr>
        <w:t>ОАО «Красноярская теплотранспортная компания» - отопление, ГВС;</w:t>
      </w:r>
      <w:r/>
    </w:p>
    <w:p>
      <w:pPr>
        <w:pStyle w:val="Normal"/>
        <w:spacing w:lineRule="auto" w:line="240"/>
        <w:rPr>
          <w:b/>
          <w:b/>
        </w:rPr>
      </w:pPr>
      <w:r>
        <w:rPr>
          <w:b/>
        </w:rPr>
        <w:t>ООО «КрасКом» -ХВС, стоки;</w:t>
      </w:r>
      <w:r/>
    </w:p>
    <w:p>
      <w:pPr>
        <w:pStyle w:val="Normal"/>
        <w:spacing w:lineRule="auto" w:line="240"/>
      </w:pPr>
      <w:r>
        <w:rPr>
          <w:b/>
        </w:rPr>
        <w:t>ОАО «Красноярскэнергосбыт» - электроэнергия.</w:t>
      </w:r>
      <w:r/>
    </w:p>
    <w:p>
      <w:pPr>
        <w:pStyle w:val="Normal"/>
        <w:spacing w:lineRule="auto" w:line="240"/>
      </w:pPr>
      <w:r>
        <w:rPr>
          <w:b/>
        </w:rPr>
        <w:t xml:space="preserve">ТАРИФЫ НА КОММУНАЛЬНЫЕ РЕСУРСЫ В г. КРАСНОЯРСКЕ  на 01.01.2015г. </w:t>
      </w:r>
      <w:r/>
    </w:p>
    <w:p>
      <w:pPr>
        <w:pStyle w:val="Normal"/>
        <w:spacing w:lineRule="auto" w:line="240"/>
        <w:jc w:val="both"/>
      </w:pPr>
      <w:r>
        <w:rPr>
          <w:b/>
        </w:rPr>
        <w:t>(</w:t>
      </w:r>
      <w:r>
        <w:rPr>
          <w:b w:val="false"/>
          <w:bCs w:val="false"/>
          <w:i w:val="false"/>
          <w:caps w:val="false"/>
          <w:smallCaps w:val="false"/>
          <w:color w:val="003000"/>
          <w:spacing w:val="0"/>
          <w:sz w:val="28"/>
          <w:szCs w:val="28"/>
        </w:rPr>
        <w:t>Приказ РЭК Красноярского края от 10.12.2013 № 471-в, Приказ РЭК Красноярского края от 19.12.2013 г. № 408-п, Приказ РЭК от 17.12.2013 № 320-П</w:t>
      </w:r>
      <w:r>
        <w:rPr>
          <w:b/>
        </w:rPr>
        <w:t>)</w:t>
      </w:r>
      <w:r/>
    </w:p>
    <w:p>
      <w:pPr>
        <w:pStyle w:val="Normal"/>
        <w:spacing w:lineRule="auto" w:line="240"/>
        <w:jc w:val="both"/>
        <w:rPr>
          <w:sz w:val="28"/>
          <w:sz w:val="28"/>
          <w:szCs w:val="28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/>
        <w:t>1.Теплоснабжение                                          1341,34 руб/Гкал</w:t>
      </w:r>
      <w:r/>
    </w:p>
    <w:p>
      <w:pPr>
        <w:pStyle w:val="Normal"/>
        <w:spacing w:lineRule="auto" w:line="240"/>
        <w:jc w:val="both"/>
      </w:pPr>
      <w:r>
        <w:rPr/>
        <w:t xml:space="preserve">                                                                            </w:t>
      </w:r>
      <w:r>
        <w:rPr/>
        <w:t>0,013814 Гкал/кв.м/месяц</w:t>
      </w:r>
      <w:r/>
    </w:p>
    <w:p>
      <w:pPr>
        <w:pStyle w:val="Normal"/>
        <w:spacing w:lineRule="auto" w:line="240"/>
        <w:jc w:val="both"/>
      </w:pPr>
      <w:r>
        <w:rPr/>
        <w:t xml:space="preserve"> </w:t>
      </w:r>
      <w:r>
        <w:rPr/>
        <w:t>2.</w:t>
      </w:r>
      <w:r>
        <w:rPr/>
        <w:t>Г</w:t>
      </w:r>
      <w:r>
        <w:rPr/>
        <w:t>оряче</w:t>
      </w:r>
      <w:r>
        <w:rPr/>
        <w:t>е</w:t>
      </w:r>
      <w:r>
        <w:rPr/>
        <w:t xml:space="preserve"> водоснабжени</w:t>
      </w:r>
      <w:r>
        <w:rPr/>
        <w:t>е</w:t>
      </w:r>
      <w:r>
        <w:rPr/>
        <w:t xml:space="preserve"> :</w:t>
      </w:r>
      <w:r/>
    </w:p>
    <w:p>
      <w:pPr>
        <w:pStyle w:val="Normal"/>
        <w:spacing w:lineRule="auto" w:line="240"/>
        <w:jc w:val="both"/>
        <w:rPr>
          <w:sz w:val="28"/>
          <w:sz w:val="28"/>
          <w:szCs w:val="28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/>
        <w:t>компонент на теплоэнергию                         0,0603 Гкал/куб.м/месяц</w:t>
      </w:r>
      <w:r/>
    </w:p>
    <w:p>
      <w:pPr>
        <w:pStyle w:val="Normal"/>
        <w:spacing w:lineRule="auto" w:line="240"/>
        <w:jc w:val="both"/>
        <w:rPr>
          <w:sz w:val="28"/>
          <w:sz w:val="28"/>
          <w:szCs w:val="28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/>
        <w:t>компонент на теплоноситель                         4,47 руб/куб.м</w:t>
      </w:r>
      <w:r/>
    </w:p>
    <w:p>
      <w:pPr>
        <w:pStyle w:val="Normal"/>
        <w:spacing w:lineRule="auto" w:line="240"/>
        <w:jc w:val="both"/>
        <w:rPr>
          <w:sz w:val="28"/>
          <w:sz w:val="28"/>
          <w:szCs w:val="28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/>
        <w:t>3. Стоимость э/э в пределах соц. нормы</w:t>
      </w:r>
      <w:r/>
    </w:p>
    <w:p>
      <w:pPr>
        <w:pStyle w:val="Normal"/>
        <w:spacing w:lineRule="auto" w:line="240"/>
        <w:jc w:val="both"/>
        <w:rPr>
          <w:sz w:val="28"/>
          <w:sz w:val="28"/>
          <w:szCs w:val="28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/>
        <w:t xml:space="preserve">    </w:t>
      </w:r>
      <w:r>
        <w:rPr/>
        <w:t>(по месту регистрации человека)              1,33 руб/кВт</w:t>
      </w:r>
      <w:r/>
    </w:p>
    <w:p>
      <w:pPr>
        <w:pStyle w:val="Normal"/>
        <w:spacing w:lineRule="auto" w:line="240"/>
        <w:jc w:val="both"/>
        <w:rPr>
          <w:sz w:val="28"/>
          <w:sz w:val="28"/>
          <w:szCs w:val="28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/>
        <w:t xml:space="preserve">   </w:t>
      </w:r>
      <w:r>
        <w:rPr/>
        <w:t>Стоимость э/э свыше соц. нормы               2,16 руб/кВт</w:t>
      </w:r>
      <w:r/>
    </w:p>
    <w:p>
      <w:pPr>
        <w:pStyle w:val="Normal"/>
        <w:spacing w:lineRule="auto" w:line="240"/>
        <w:jc w:val="both"/>
        <w:rPr>
          <w:sz w:val="28"/>
          <w:sz w:val="28"/>
          <w:szCs w:val="28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/>
        <w:t>4. Холодное водоснабжение                     13,88 руб/куб.м</w:t>
      </w:r>
      <w:r/>
    </w:p>
    <w:p>
      <w:pPr>
        <w:pStyle w:val="Normal"/>
        <w:spacing w:lineRule="auto" w:line="240"/>
        <w:jc w:val="both"/>
        <w:rPr>
          <w:sz w:val="28"/>
          <w:sz w:val="28"/>
          <w:szCs w:val="28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/>
        <w:t>5. Водоотведение                                        9,92  руб/куб.м</w:t>
      </w:r>
      <w:r/>
    </w:p>
    <w:p>
      <w:pPr>
        <w:pStyle w:val="Normal"/>
        <w:spacing w:lineRule="auto" w:line="240"/>
        <w:jc w:val="both"/>
      </w:pPr>
      <w:r>
        <w:rPr>
          <w:b/>
        </w:rPr>
        <w:t>НОРМАТИВЫ  ПОТРЕБЛЕНИЯ</w:t>
      </w:r>
      <w:r/>
    </w:p>
    <w:p>
      <w:pPr>
        <w:pStyle w:val="Normal"/>
        <w:spacing w:lineRule="auto" w:line="240"/>
        <w:jc w:val="both"/>
      </w:pPr>
      <w:r>
        <w:rPr>
          <w:b w:val="false"/>
          <w:bCs w:val="false"/>
        </w:rPr>
        <w:t>1.  ЭЛЕКТРОЭНЕРГИЯ</w:t>
      </w:r>
      <w:r/>
    </w:p>
    <w:p>
      <w:pPr>
        <w:pStyle w:val="Normal"/>
        <w:spacing w:lineRule="auto" w:line="240"/>
        <w:jc w:val="both"/>
      </w:pPr>
      <w:r>
        <w:rPr>
          <w:b w:val="false"/>
          <w:bCs w:val="false"/>
        </w:rPr>
        <w:t>Соц. норма на число зарегистрированных: 1 чел. -110 кВт, 2 и более -75 кВт/чел.)</w:t>
      </w:r>
      <w:r/>
    </w:p>
    <w:p>
      <w:pPr>
        <w:pStyle w:val="Normal"/>
        <w:spacing w:lineRule="auto" w:line="24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Никто не зарегистрирован – соц. норма отсутствует.</w:t>
      </w:r>
      <w:r/>
    </w:p>
    <w:p>
      <w:pPr>
        <w:pStyle w:val="Normal"/>
        <w:spacing w:lineRule="auto" w:line="24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2. При отсутствии ИПУ</w:t>
      </w:r>
      <w:r/>
    </w:p>
    <w:p>
      <w:pPr>
        <w:pStyle w:val="Normal"/>
        <w:spacing w:lineRule="auto" w:line="24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Холодная вода    7,9259 </w:t>
      </w:r>
      <w:bookmarkStart w:id="0" w:name="__DdeLink__7700_935355938"/>
      <w:bookmarkEnd w:id="0"/>
      <w:r>
        <w:rPr>
          <w:b w:val="false"/>
          <w:bCs w:val="false"/>
        </w:rPr>
        <w:t>куб.м/чел.</w:t>
      </w:r>
      <w:r/>
    </w:p>
    <w:p>
      <w:pPr>
        <w:pStyle w:val="Normal"/>
        <w:spacing w:lineRule="auto" w:line="24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Водоотведение   13,508  куб.м/чел.</w:t>
      </w:r>
      <w:r/>
    </w:p>
    <w:p>
      <w:pPr>
        <w:pStyle w:val="Normal"/>
        <w:spacing w:lineRule="auto" w:line="24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>Горячая вода        5, 5821 куб.м/чел.</w:t>
      </w:r>
      <w:r/>
    </w:p>
    <w:p>
      <w:pPr>
        <w:pStyle w:val="Normal"/>
        <w:spacing w:lineRule="auto" w:line="240"/>
        <w:jc w:val="both"/>
        <w:rPr>
          <w:sz w:val="28"/>
          <w:b/>
          <w:sz w:val="28"/>
          <w:b/>
          <w:szCs w:val="28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b/>
        </w:rPr>
      </w:r>
      <w:r/>
    </w:p>
    <w:p>
      <w:pPr>
        <w:pStyle w:val="Normal"/>
        <w:spacing w:lineRule="auto" w:line="240" w:before="0" w:after="200"/>
        <w:jc w:val="both"/>
        <w:rPr>
          <w:sz w:val="28"/>
          <w:sz w:val="28"/>
          <w:szCs w:val="28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/>
      </w:r>
      <w:r/>
    </w:p>
    <w:sectPr>
      <w:type w:val="nextPage"/>
      <w:pgSz w:w="11906" w:h="16838"/>
      <w:pgMar w:left="1335" w:right="461" w:header="0" w:top="600" w:footer="0" w:bottom="188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8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23488a"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Calibri" w:cs="Times New Roman" w:eastAsiaTheme="minorHAnsi"/>
      <w:color w:val="00000A"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rsid w:val="002216f0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rsid w:val="002216f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042f"/>
    <w:pPr>
      <w:spacing w:before="0" w:after="200"/>
      <w:ind w:left="720" w:hanging="0"/>
      <w:contextualSpacing/>
    </w:pPr>
    <w:rPr/>
  </w:style>
  <w:style w:type="paragraph" w:styleId="Style20">
    <w:name w:val="Содержимое врезки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A7AFF6C-FCA9-452A-A58C-79EF3EF1C567}"/>
</file>

<file path=customXml/itemProps2.xml><?xml version="1.0" encoding="utf-8"?>
<ds:datastoreItem xmlns:ds="http://schemas.openxmlformats.org/officeDocument/2006/customXml" ds:itemID="{0E72F461-DD45-4447-9C63-326301E174CB}"/>
</file>

<file path=customXml/itemProps3.xml><?xml version="1.0" encoding="utf-8"?>
<ds:datastoreItem xmlns:ds="http://schemas.openxmlformats.org/officeDocument/2006/customXml" ds:itemID="{C0F18DCB-D747-425F-920B-8D2EB175A0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Application>LibreOffice/4.3.5.2$Windows_x86 LibreOffice_project/3a87456aaa6a95c63eea1c1b3201acedf0751bd5</Application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revision>16</cp:revision>
  <cp:lastPrinted>2015-02-14T18:20:43Z</cp:lastPrinted>
  <dcterms:created xsi:type="dcterms:W3CDTF">2011-11-21T03:43:00Z</dcterms:created>
  <dcterms:modified xsi:type="dcterms:W3CDTF">2015-02-14T18:20:48Z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