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</w:rPr>
        <w:t xml:space="preserve">Информация об использовании общего имущества 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Заключены договора с провайдерами о размещении оборудования фирм в местах общего пользования дома:</w:t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ОАО «ВымпелКом»     с 2007г.</w:t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ООО КФ «Тивиант»     с 2009г.</w:t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ООО «Радар»                с 2011г.</w:t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ООО «Игра-Сервис»    с 2011г.</w:t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ООО «Орион»               с 2011г.</w:t>
      </w:r>
      <w:r/>
    </w:p>
    <w:p>
      <w:pPr>
        <w:pStyle w:val="Normal"/>
        <w:ind w:left="0" w:right="0" w:firstLine="709"/>
        <w:jc w:val="both"/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ru-RU" w:eastAsia="en-US" w:bidi="ar-SA"/>
        </w:rPr>
        <w:t>ООО «Сибирская сеть» с 2014г.</w:t>
      </w:r>
      <w:r/>
    </w:p>
    <w:p>
      <w:pPr>
        <w:pStyle w:val="Normal"/>
        <w:spacing w:lineRule="atLeast" w:line="100" w:before="0" w:after="0"/>
        <w:ind w:left="46" w:right="0" w:hanging="0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ind w:left="46" w:right="0" w:hanging="0"/>
        <w:jc w:val="both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</w:t>
        <w:tab/>
        <w:tab/>
        <w:tab/>
        <w:tab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  <w:r/>
    </w:p>
    <w:p>
      <w:pPr>
        <w:pStyle w:val="Normal"/>
        <w:spacing w:lineRule="atLeast" w:line="100" w:before="0" w:after="0"/>
        <w:ind w:left="46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ab/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spacing w:before="0" w:after="200"/>
        <w:jc w:val="right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D2D87-BB02-45B1-AA04-E82996CC3EC2}"/>
</file>

<file path=customXml/itemProps2.xml><?xml version="1.0" encoding="utf-8"?>
<ds:datastoreItem xmlns:ds="http://schemas.openxmlformats.org/officeDocument/2006/customXml" ds:itemID="{D70C6307-8D81-4B74-B7AC-21D4F51ED121}"/>
</file>

<file path=customXml/itemProps3.xml><?xml version="1.0" encoding="utf-8"?>
<ds:datastoreItem xmlns:ds="http://schemas.openxmlformats.org/officeDocument/2006/customXml" ds:itemID="{BC011D1D-DB4E-42F7-B2A3-65A9B7416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Даничева</dc:creator>
  <cp:revision>5</cp:revision>
  <cp:lastPrinted>2014-04-03T12:31:55Z</cp:lastPrinted>
  <dcterms:created xsi:type="dcterms:W3CDTF">2013-03-24T13:00:00Z</dcterms:created>
  <dcterms:modified xsi:type="dcterms:W3CDTF">2015-02-17T14:52:25Z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