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1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1: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8F0329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2: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3: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8F032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</w:t>
      </w:r>
      <w:r w:rsidR="00004987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 xml:space="preserve">4: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5: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 xml:space="preserve">6: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8F0329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8F0329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1.1: Капитальный ремонт многоквартирных домов за счет средств регионального оператора</w:t>
      </w:r>
      <w:r w:rsidR="00351B08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2</w:t>
      </w:r>
      <w:r w:rsidR="00770342" w:rsidRPr="00B96CDC">
        <w:rPr>
          <w:rFonts w:ascii="Times New Roman" w:hAnsi="Times New Roman" w:cs="Times New Roman"/>
          <w:sz w:val="28"/>
          <w:szCs w:val="28"/>
        </w:rPr>
        <w:t>: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05pt;height:42.35pt" o:ole="">
            <v:imagedata r:id="rId9" o:title=""/>
          </v:shape>
          <o:OLEObject Type="Embed" ProgID="Equation.3" ShapeID="_x0000_i1025" DrawAspect="Content" ObjectID="_1662474494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5.7pt;height:47.45pt" o:ole="">
            <v:imagedata r:id="rId11" o:title=""/>
          </v:shape>
          <o:OLEObject Type="Embed" ProgID="Equation.3" ShapeID="_x0000_i1026" DrawAspect="Content" ObjectID="_1662474495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8F0329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62474500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8F0329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62474501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4</w:t>
      </w:r>
      <w:r w:rsidR="0011700B" w:rsidRPr="00B96CDC">
        <w:rPr>
          <w:rFonts w:ascii="Times New Roman" w:hAnsi="Times New Roman" w:cs="Times New Roman"/>
          <w:sz w:val="28"/>
          <w:szCs w:val="28"/>
        </w:rPr>
        <w:t>: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 xml:space="preserve">приказ Федеральной службы </w:t>
      </w:r>
      <w:r w:rsidR="00DB64A9" w:rsidRPr="00B96CDC">
        <w:rPr>
          <w:rFonts w:ascii="Times New Roman" w:hAnsi="Times New Roman" w:cs="Times New Roman"/>
          <w:sz w:val="28"/>
          <w:szCs w:val="28"/>
        </w:rPr>
        <w:lastRenderedPageBreak/>
        <w:t>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1.2: Перекладка сетей теплоснабжения за </w:t>
      </w:r>
      <w:r w:rsidR="003C15B8" w:rsidRPr="00B96CDC">
        <w:rPr>
          <w:rFonts w:ascii="Times New Roman" w:hAnsi="Times New Roman" w:cs="Times New Roman"/>
          <w:sz w:val="28"/>
          <w:szCs w:val="28"/>
        </w:rPr>
        <w:lastRenderedPageBreak/>
        <w:t>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2: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3.1: Удельная величина потребления 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89.8pt;height:44.05pt" o:ole="">
            <v:imagedata r:id="rId17" o:title=""/>
          </v:shape>
          <o:OLEObject Type="Embed" ProgID="Equation.3" ShapeID="_x0000_i1029" DrawAspect="Content" ObjectID="_1662474496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pt;height:40.65pt" o:ole="">
            <v:imagedata r:id="rId19" o:title=""/>
          </v:shape>
          <o:OLEObject Type="Embed" ProgID="Equation.3" ShapeID="_x0000_i1030" DrawAspect="Content" ObjectID="_1662474497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8.95pt;height:42.35pt" o:ole="">
            <v:imagedata r:id="rId21" o:title=""/>
          </v:shape>
          <o:OLEObject Type="Embed" ProgID="Equation.3" ShapeID="_x0000_i1031" DrawAspect="Content" ObjectID="_1662474498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8.95pt;height:42.35pt" o:ole="">
            <v:imagedata r:id="rId23" o:title=""/>
          </v:shape>
          <o:OLEObject Type="Embed" ProgID="Equation.3" ShapeID="_x0000_i1032" DrawAspect="Content" ObjectID="_1662474499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47353" w:rsidRPr="00B96CDC">
        <w:rPr>
          <w:rFonts w:ascii="Times New Roman" w:hAnsi="Times New Roman" w:cs="Times New Roman"/>
          <w:sz w:val="28"/>
          <w:szCs w:val="28"/>
        </w:rPr>
        <w:t>результативно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сти 1: </w:t>
      </w:r>
      <w:r w:rsidR="00947353" w:rsidRPr="00B96CDC">
        <w:rPr>
          <w:rFonts w:ascii="Times New Roman" w:hAnsi="Times New Roman" w:cs="Times New Roman"/>
          <w:sz w:val="28"/>
          <w:szCs w:val="28"/>
        </w:rPr>
        <w:t xml:space="preserve">Протяженность отремонтированных автомобильных дорог общего пользования местного значения, в отношении </w:t>
      </w:r>
      <w:r w:rsidR="00947353" w:rsidRPr="00B96CDC">
        <w:rPr>
          <w:rFonts w:ascii="Times New Roman" w:hAnsi="Times New Roman" w:cs="Times New Roman"/>
          <w:sz w:val="28"/>
          <w:szCs w:val="28"/>
        </w:rPr>
        <w:lastRenderedPageBreak/>
        <w:t>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CFA" w:rsidRDefault="00151CFA" w:rsidP="00151C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D97740">
        <w:rPr>
          <w:rFonts w:ascii="Times New Roman" w:hAnsi="Times New Roman" w:cs="Times New Roman"/>
          <w:sz w:val="28"/>
          <w:szCs w:val="28"/>
        </w:rPr>
        <w:t>2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8F0329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Pr="00984723">
        <w:rPr>
          <w:rFonts w:ascii="Times New Roman" w:hAnsi="Times New Roman" w:cs="Times New Roman"/>
          <w:sz w:val="28"/>
          <w:szCs w:val="28"/>
        </w:rPr>
        <w:t>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7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71028" w:rsidRPr="00B96C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сетей ливневой канализации, находящейся на обслуживании.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8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дорог общего пользования местного значения, подлежащих мероприятиям по </w:t>
      </w:r>
      <w:proofErr w:type="spellStart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8F03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8F03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8F03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DD37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0154DB" w:rsidRDefault="000154D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F03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8F0329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8F03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DD37FF">
        <w:rPr>
          <w:rFonts w:ascii="Times New Roman" w:hAnsi="Times New Roman" w:cs="Times New Roman"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8F0329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8F0329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12</w:t>
      </w:r>
      <w:r w:rsidR="009A01DA" w:rsidRPr="007E36F9">
        <w:rPr>
          <w:rFonts w:ascii="Times New Roman" w:hAnsi="Times New Roman" w:cs="Times New Roman"/>
          <w:sz w:val="28"/>
          <w:szCs w:val="28"/>
        </w:rPr>
        <w:t>: 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46426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426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426" w:rsidRPr="007E36F9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EA1" w:rsidRPr="007E36F9" w:rsidRDefault="00A65EA1" w:rsidP="00197D0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lastRenderedPageBreak/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D5C55">
        <w:rPr>
          <w:rFonts w:ascii="Times New Roman" w:hAnsi="Times New Roman" w:cs="Times New Roman"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7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D77DF0">
        <w:rPr>
          <w:rFonts w:ascii="Times New Roman" w:hAnsi="Times New Roman" w:cs="Times New Roman"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7E36F9" w:rsidRDefault="00DF6D21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AC2E3A" w:rsidRPr="007E36F9">
        <w:rPr>
          <w:rFonts w:ascii="Times New Roman" w:hAnsi="Times New Roman" w:cs="Times New Roman"/>
          <w:sz w:val="28"/>
          <w:szCs w:val="28"/>
        </w:rPr>
        <w:t>12:</w:t>
      </w:r>
      <w:r w:rsidR="00E64F7A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DB4641" w:rsidRPr="007E36F9">
        <w:rPr>
          <w:rFonts w:ascii="Times New Roman" w:hAnsi="Times New Roman" w:cs="Times New Roman"/>
          <w:sz w:val="28"/>
          <w:szCs w:val="28"/>
        </w:rPr>
        <w:t>Уровень оснащенности специальными информационными щитами (аншлагами</w:t>
      </w:r>
      <w:r w:rsidR="00E64F7A" w:rsidRPr="007E36F9">
        <w:rPr>
          <w:rFonts w:ascii="Times New Roman" w:hAnsi="Times New Roman" w:cs="Times New Roman"/>
          <w:sz w:val="28"/>
          <w:szCs w:val="28"/>
        </w:rPr>
        <w:t>) с запрещающими надписями на экологическую тематику</w:t>
      </w:r>
      <w:r w:rsidR="002E05AF" w:rsidRPr="007E36F9">
        <w:rPr>
          <w:rFonts w:ascii="Times New Roman" w:hAnsi="Times New Roman" w:cs="Times New Roman"/>
          <w:sz w:val="28"/>
          <w:szCs w:val="28"/>
        </w:rPr>
        <w:t>.</w:t>
      </w:r>
    </w:p>
    <w:p w:rsidR="0025666B" w:rsidRPr="007E36F9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7E36F9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DB4641" w:rsidRPr="007E36F9">
        <w:rPr>
          <w:rFonts w:ascii="Times New Roman" w:hAnsi="Times New Roman" w:cs="Times New Roman"/>
          <w:sz w:val="28"/>
          <w:szCs w:val="28"/>
        </w:rPr>
        <w:t>проценты.</w:t>
      </w:r>
    </w:p>
    <w:p w:rsidR="00976C94" w:rsidRPr="007E36F9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25666B" w:rsidRPr="007E36F9">
        <w:rPr>
          <w:rFonts w:ascii="Times New Roman" w:hAnsi="Times New Roman" w:cs="Times New Roman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7E36F9">
        <w:rPr>
          <w:rFonts w:ascii="Times New Roman" w:hAnsi="Times New Roman" w:cs="Times New Roman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7E36F9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1533A7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</w:p>
    <w:p w:rsidR="0023674E" w:rsidRPr="007E36F9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7E36F9">
        <w:rPr>
          <w:rFonts w:ascii="Times New Roman" w:hAnsi="Times New Roman" w:cs="Times New Roman"/>
          <w:sz w:val="28"/>
          <w:szCs w:val="28"/>
        </w:rPr>
        <w:t>,</w:t>
      </w:r>
    </w:p>
    <w:p w:rsidR="0023674E" w:rsidRPr="007E36F9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где:</w:t>
      </w:r>
    </w:p>
    <w:p w:rsidR="0023674E" w:rsidRPr="007E36F9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</m:t>
        </m:r>
      </m:oMath>
      <w:r w:rsidRPr="007E36F9">
        <w:rPr>
          <w:rFonts w:ascii="Times New Roman" w:hAnsi="Times New Roman" w:cs="Times New Roman"/>
          <w:sz w:val="28"/>
          <w:szCs w:val="28"/>
        </w:rPr>
        <w:t xml:space="preserve"> - уровень оснащенности специальными информационными щитами (аншлагами) с запрещающими надписями на экологическую тематику;</w:t>
      </w:r>
    </w:p>
    <w:p w:rsidR="0023674E" w:rsidRPr="007E36F9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36F9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7E36F9">
        <w:rPr>
          <w:rFonts w:ascii="Times New Roman" w:hAnsi="Times New Roman" w:cs="Times New Roman"/>
          <w:sz w:val="28"/>
          <w:szCs w:val="28"/>
        </w:rPr>
        <w:t xml:space="preserve"> - фактический объем </w:t>
      </w:r>
      <w:r w:rsidR="00DB24B7" w:rsidRPr="007E36F9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Pr="007E36F9">
        <w:rPr>
          <w:rFonts w:ascii="Times New Roman" w:hAnsi="Times New Roman" w:cs="Times New Roman"/>
          <w:sz w:val="28"/>
          <w:szCs w:val="28"/>
        </w:rPr>
        <w:t>информационных щитов (аншлагов);</w:t>
      </w:r>
    </w:p>
    <w:p w:rsidR="0023674E" w:rsidRPr="007E36F9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 - планируемый объем приобретения информационных щитов (аншлагов).</w:t>
      </w:r>
    </w:p>
    <w:p w:rsidR="00AC2E3A" w:rsidRPr="007E36F9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1937" w:rsidRPr="007E36F9" w:rsidRDefault="00DF6D21" w:rsidP="003D193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576233" w:rsidRPr="007E36F9">
        <w:rPr>
          <w:rFonts w:ascii="Times New Roman" w:hAnsi="Times New Roman" w:cs="Times New Roman"/>
          <w:sz w:val="28"/>
          <w:szCs w:val="28"/>
        </w:rPr>
        <w:t>13</w:t>
      </w:r>
      <w:r w:rsidR="00F827F2" w:rsidRPr="007E36F9">
        <w:rPr>
          <w:rFonts w:ascii="Times New Roman" w:hAnsi="Times New Roman" w:cs="Times New Roman"/>
          <w:sz w:val="28"/>
          <w:szCs w:val="28"/>
        </w:rPr>
        <w:t>:</w:t>
      </w:r>
      <w:r w:rsidR="00DD2BE2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F827F2" w:rsidRPr="007E36F9">
        <w:rPr>
          <w:rFonts w:ascii="Times New Roman" w:hAnsi="Times New Roman" w:cs="Times New Roman"/>
          <w:sz w:val="28"/>
          <w:szCs w:val="28"/>
        </w:rPr>
        <w:t>Уровень</w:t>
      </w:r>
      <w:r w:rsidR="00200C8E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F827F2" w:rsidRPr="007E36F9">
        <w:rPr>
          <w:rFonts w:ascii="Times New Roman" w:hAnsi="Times New Roman" w:cs="Times New Roman"/>
          <w:sz w:val="28"/>
          <w:szCs w:val="28"/>
        </w:rPr>
        <w:t xml:space="preserve">обеспеченности материальными ресурсами </w:t>
      </w:r>
      <w:r w:rsidR="003D1937" w:rsidRPr="007E36F9">
        <w:rPr>
          <w:rFonts w:ascii="Times New Roman" w:hAnsi="Times New Roman" w:cs="Times New Roman"/>
          <w:sz w:val="28"/>
          <w:szCs w:val="28"/>
        </w:rPr>
        <w:t>в целях гражданской обороны и ликвидации чрезвычайных ситуаций.</w:t>
      </w:r>
    </w:p>
    <w:p w:rsidR="00764F79" w:rsidRPr="007E36F9" w:rsidRDefault="00764F79" w:rsidP="003D193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574" w:rsidRPr="007E36F9" w:rsidRDefault="00D07574" w:rsidP="00D0757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E30FF" w:rsidRPr="007E36F9">
        <w:rPr>
          <w:rFonts w:ascii="Times New Roman" w:hAnsi="Times New Roman" w:cs="Times New Roman"/>
          <w:sz w:val="28"/>
          <w:szCs w:val="28"/>
        </w:rPr>
        <w:t>проценты.</w:t>
      </w:r>
    </w:p>
    <w:p w:rsidR="00437271" w:rsidRPr="007E36F9" w:rsidRDefault="00D07574" w:rsidP="00437271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437271" w:rsidRPr="007E36F9">
        <w:rPr>
          <w:rFonts w:ascii="Times New Roman" w:hAnsi="Times New Roman" w:cs="Times New Roman"/>
          <w:sz w:val="28"/>
          <w:szCs w:val="28"/>
        </w:rPr>
        <w:t xml:space="preserve"> п</w:t>
      </w:r>
      <w:r w:rsidR="00D12859" w:rsidRPr="007E36F9">
        <w:rPr>
          <w:rFonts w:ascii="Times New Roman" w:hAnsi="Times New Roman" w:cs="Times New Roman"/>
          <w:sz w:val="28"/>
          <w:szCs w:val="28"/>
        </w:rPr>
        <w:t>остановление</w:t>
      </w:r>
      <w:r w:rsidR="00B61731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D12859" w:rsidRPr="007E36F9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от 08.04.2010 № 143 «О резервах материальных ресурсов </w:t>
      </w:r>
      <w:r w:rsidR="00E066B8" w:rsidRPr="007E36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12859" w:rsidRPr="007E36F9">
        <w:rPr>
          <w:rFonts w:ascii="Times New Roman" w:hAnsi="Times New Roman" w:cs="Times New Roman"/>
          <w:sz w:val="28"/>
          <w:szCs w:val="28"/>
        </w:rPr>
        <w:t>г. Красноярска»</w:t>
      </w:r>
      <w:r w:rsidR="00437271" w:rsidRPr="007E36F9">
        <w:rPr>
          <w:rFonts w:ascii="Times New Roman" w:hAnsi="Times New Roman" w:cs="Times New Roman"/>
          <w:sz w:val="28"/>
          <w:szCs w:val="28"/>
        </w:rPr>
        <w:t xml:space="preserve">; «Инвентаризационная опись по объектам нефинансовых активов» (форма по ОКУД 0504087). </w:t>
      </w:r>
    </w:p>
    <w:p w:rsidR="006031BB" w:rsidRPr="007E36F9" w:rsidRDefault="00D07574" w:rsidP="00261D00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="00E066B8" w:rsidRPr="007E3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BB" w:rsidRPr="007E36F9" w:rsidRDefault="006031BB" w:rsidP="006031B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Уо=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*100%</m:t>
        </m:r>
      </m:oMath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031BB" w:rsidRPr="007E36F9" w:rsidRDefault="006031BB" w:rsidP="006031B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031BB" w:rsidRPr="007E36F9" w:rsidRDefault="006031BB" w:rsidP="006031B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Уо</m:t>
        </m:r>
      </m:oMath>
      <w:r w:rsidR="00E1267D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350A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обеспеченности материальными ресурсами</w:t>
      </w:r>
      <w:r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гражданской обороны и ликвидации чрезвычайных ситуаций;</w:t>
      </w:r>
    </w:p>
    <w:p w:rsidR="006031BB" w:rsidRPr="007E36F9" w:rsidRDefault="006031BB" w:rsidP="00B901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proofErr w:type="spellEnd"/>
      <w:r w:rsidR="00E1267D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объем</w:t>
      </w:r>
      <w:r w:rsidR="00FA2585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приобретенных </w:t>
      </w:r>
      <w:r w:rsidR="001321F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ресурсов;</w:t>
      </w:r>
    </w:p>
    <w:p w:rsidR="00B9017E" w:rsidRPr="007E36F9" w:rsidRDefault="006031BB" w:rsidP="00B901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1267D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</w:t>
      </w:r>
      <w:r w:rsidR="00200C8E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1C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обеспеченности материальными ресурсами</w:t>
      </w:r>
      <w:r w:rsidR="001321F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1BB" w:rsidRPr="0022230E" w:rsidRDefault="006031BB" w:rsidP="00B901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326F7" w:rsidRPr="0022230E" w:rsidRDefault="008326F7" w:rsidP="00297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537E5" w:rsidRPr="0022230E" w:rsidRDefault="002537E5" w:rsidP="00297B3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F2420" w:rsidRDefault="006F2420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614" w:rsidRPr="0022230E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Pr="0022230E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592568" w:rsidRPr="0022230E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1DA" w:rsidRPr="0022230E" w:rsidRDefault="00222DF5" w:rsidP="00812F2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результативности </w:t>
      </w:r>
      <w:r w:rsidR="00C32118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E3A" w:rsidRPr="0022230E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Pr="0022230E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B6503" w:rsidRPr="0022230E">
        <w:rPr>
          <w:rFonts w:ascii="Times New Roman" w:hAnsi="Times New Roman" w:cs="Times New Roman"/>
          <w:sz w:val="28"/>
          <w:szCs w:val="28"/>
        </w:rPr>
        <w:t xml:space="preserve"> </w:t>
      </w:r>
      <w:r w:rsidRPr="0022230E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22230E">
        <w:rPr>
          <w:rFonts w:ascii="Times New Roman" w:hAnsi="Times New Roman" w:cs="Times New Roman"/>
          <w:sz w:val="28"/>
          <w:szCs w:val="28"/>
        </w:rPr>
        <w:t>.</w:t>
      </w:r>
    </w:p>
    <w:p w:rsidR="007B3D24" w:rsidRPr="0022230E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7B3D24" w:rsidRPr="0022230E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22230E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739" w:rsidRPr="0022230E" w:rsidRDefault="00234739" w:rsidP="00824B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622" w:rsidRPr="0022230E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22230E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22230E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207DEE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утро, вечер</w:t>
      </w:r>
      <w:r w:rsidR="00912926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207DEE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207DEE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545FAB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Pr="00207DEE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DE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833FB" w:rsidRPr="00207DEE" w:rsidRDefault="00F833FB" w:rsidP="00F833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1: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713" w:rsidRDefault="00F35713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96214C" w:rsidRDefault="00EA287E" w:rsidP="00EA28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EA287E" w:rsidRDefault="00EA287E" w:rsidP="00EA287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Pr="00EA287E" w:rsidRDefault="00EA287E" w:rsidP="00EA287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D3D37" w:rsidRPr="005D0A0E" w:rsidRDefault="008D3D37" w:rsidP="00B45B0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FA" w:rsidRPr="00B96CDC" w:rsidRDefault="00622BFA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BFA" w:rsidRPr="00B96CDC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14" w:rsidRDefault="00D36614" w:rsidP="003C10FA">
      <w:pPr>
        <w:spacing w:after="0" w:line="240" w:lineRule="auto"/>
      </w:pPr>
      <w:r>
        <w:separator/>
      </w:r>
    </w:p>
  </w:endnote>
  <w:endnote w:type="continuationSeparator" w:id="0">
    <w:p w:rsidR="00D36614" w:rsidRDefault="00D36614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14" w:rsidRDefault="00D36614" w:rsidP="003C10FA">
      <w:pPr>
        <w:spacing w:after="0" w:line="240" w:lineRule="auto"/>
      </w:pPr>
      <w:r>
        <w:separator/>
      </w:r>
    </w:p>
  </w:footnote>
  <w:footnote w:type="continuationSeparator" w:id="0">
    <w:p w:rsidR="00D36614" w:rsidRDefault="00D36614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D36614" w:rsidRDefault="00D366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329">
          <w:rPr>
            <w:noProof/>
          </w:rPr>
          <w:t>18</w:t>
        </w:r>
        <w:r>
          <w:fldChar w:fldCharType="end"/>
        </w:r>
      </w:p>
    </w:sdtContent>
  </w:sdt>
  <w:p w:rsidR="00D36614" w:rsidRDefault="00D366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16CB"/>
    <w:rsid w:val="000128B9"/>
    <w:rsid w:val="00013F63"/>
    <w:rsid w:val="000140A2"/>
    <w:rsid w:val="000154DB"/>
    <w:rsid w:val="0001660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0A9D"/>
    <w:rsid w:val="000B27F3"/>
    <w:rsid w:val="000B63FD"/>
    <w:rsid w:val="000B6752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36D6"/>
    <w:rsid w:val="000F51FD"/>
    <w:rsid w:val="000F5A92"/>
    <w:rsid w:val="000F7B52"/>
    <w:rsid w:val="00102D9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21F9"/>
    <w:rsid w:val="00132DD9"/>
    <w:rsid w:val="001331B8"/>
    <w:rsid w:val="0013495B"/>
    <w:rsid w:val="00136A4A"/>
    <w:rsid w:val="0013798E"/>
    <w:rsid w:val="0014345E"/>
    <w:rsid w:val="00144C0B"/>
    <w:rsid w:val="00147088"/>
    <w:rsid w:val="00151CB6"/>
    <w:rsid w:val="00151CFA"/>
    <w:rsid w:val="001533A7"/>
    <w:rsid w:val="00153B69"/>
    <w:rsid w:val="00157A2C"/>
    <w:rsid w:val="00162AED"/>
    <w:rsid w:val="00163A53"/>
    <w:rsid w:val="00164231"/>
    <w:rsid w:val="0016480A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737"/>
    <w:rsid w:val="0020671E"/>
    <w:rsid w:val="00207BBB"/>
    <w:rsid w:val="00207DEE"/>
    <w:rsid w:val="002118DF"/>
    <w:rsid w:val="00215122"/>
    <w:rsid w:val="00216D2A"/>
    <w:rsid w:val="002210B7"/>
    <w:rsid w:val="0022230E"/>
    <w:rsid w:val="00222DF5"/>
    <w:rsid w:val="00225D56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A1A"/>
    <w:rsid w:val="003812A7"/>
    <w:rsid w:val="00381C97"/>
    <w:rsid w:val="00382E17"/>
    <w:rsid w:val="00384B07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C6A84"/>
    <w:rsid w:val="003D1937"/>
    <w:rsid w:val="003D198A"/>
    <w:rsid w:val="003D1A39"/>
    <w:rsid w:val="003D3BAC"/>
    <w:rsid w:val="003D3D22"/>
    <w:rsid w:val="003D4AE4"/>
    <w:rsid w:val="003D7412"/>
    <w:rsid w:val="003D7B6E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EF2"/>
    <w:rsid w:val="00400BFB"/>
    <w:rsid w:val="00402E06"/>
    <w:rsid w:val="004036A0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3B86"/>
    <w:rsid w:val="0043494B"/>
    <w:rsid w:val="00434B83"/>
    <w:rsid w:val="004353EE"/>
    <w:rsid w:val="0043563A"/>
    <w:rsid w:val="004365CB"/>
    <w:rsid w:val="00437271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6F1D"/>
    <w:rsid w:val="00470555"/>
    <w:rsid w:val="00472BD3"/>
    <w:rsid w:val="00476A0E"/>
    <w:rsid w:val="00476B97"/>
    <w:rsid w:val="0047743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39E0"/>
    <w:rsid w:val="0049465C"/>
    <w:rsid w:val="00494E61"/>
    <w:rsid w:val="004961EB"/>
    <w:rsid w:val="004A02C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D5A"/>
    <w:rsid w:val="00545FAB"/>
    <w:rsid w:val="00550CDD"/>
    <w:rsid w:val="00553DE8"/>
    <w:rsid w:val="00557184"/>
    <w:rsid w:val="00561DF1"/>
    <w:rsid w:val="00562CA4"/>
    <w:rsid w:val="00562F68"/>
    <w:rsid w:val="00563091"/>
    <w:rsid w:val="00564AE6"/>
    <w:rsid w:val="005658AA"/>
    <w:rsid w:val="00567337"/>
    <w:rsid w:val="005701E3"/>
    <w:rsid w:val="00570F8F"/>
    <w:rsid w:val="00571311"/>
    <w:rsid w:val="0057170E"/>
    <w:rsid w:val="00571BA0"/>
    <w:rsid w:val="00573B0C"/>
    <w:rsid w:val="00574973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DF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4E6"/>
    <w:rsid w:val="00693CFD"/>
    <w:rsid w:val="00695FFB"/>
    <w:rsid w:val="00697E1A"/>
    <w:rsid w:val="006A0856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E60"/>
    <w:rsid w:val="006B76BB"/>
    <w:rsid w:val="006C2988"/>
    <w:rsid w:val="006C3717"/>
    <w:rsid w:val="006C415A"/>
    <w:rsid w:val="006C415C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FA5"/>
    <w:rsid w:val="0070254E"/>
    <w:rsid w:val="007036B7"/>
    <w:rsid w:val="007040FC"/>
    <w:rsid w:val="00711A1E"/>
    <w:rsid w:val="0071315D"/>
    <w:rsid w:val="007136B2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5105"/>
    <w:rsid w:val="007760E6"/>
    <w:rsid w:val="00776A2E"/>
    <w:rsid w:val="00777C13"/>
    <w:rsid w:val="00777EA9"/>
    <w:rsid w:val="00781B37"/>
    <w:rsid w:val="00782E93"/>
    <w:rsid w:val="00790E17"/>
    <w:rsid w:val="00790E83"/>
    <w:rsid w:val="0079141A"/>
    <w:rsid w:val="00793076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D5A"/>
    <w:rsid w:val="007F0275"/>
    <w:rsid w:val="007F4317"/>
    <w:rsid w:val="007F61CA"/>
    <w:rsid w:val="007F6A3A"/>
    <w:rsid w:val="007F6CDB"/>
    <w:rsid w:val="007F7518"/>
    <w:rsid w:val="0080019B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F58"/>
    <w:rsid w:val="00821F52"/>
    <w:rsid w:val="0082300A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80D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832D3"/>
    <w:rsid w:val="0098356E"/>
    <w:rsid w:val="00984723"/>
    <w:rsid w:val="009878C4"/>
    <w:rsid w:val="00990781"/>
    <w:rsid w:val="0099203B"/>
    <w:rsid w:val="009925E2"/>
    <w:rsid w:val="00995ACE"/>
    <w:rsid w:val="009962DB"/>
    <w:rsid w:val="009A01DA"/>
    <w:rsid w:val="009A5358"/>
    <w:rsid w:val="009A6103"/>
    <w:rsid w:val="009A6298"/>
    <w:rsid w:val="009A6A90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C12"/>
    <w:rsid w:val="009D5379"/>
    <w:rsid w:val="009D7CD6"/>
    <w:rsid w:val="009E625D"/>
    <w:rsid w:val="009E705D"/>
    <w:rsid w:val="009F230D"/>
    <w:rsid w:val="009F330C"/>
    <w:rsid w:val="009F3C47"/>
    <w:rsid w:val="009F5316"/>
    <w:rsid w:val="009F5AB3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1C09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A94"/>
    <w:rsid w:val="00BD1C2A"/>
    <w:rsid w:val="00BD2908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81896"/>
    <w:rsid w:val="00C822C6"/>
    <w:rsid w:val="00C858CB"/>
    <w:rsid w:val="00C85A25"/>
    <w:rsid w:val="00C86475"/>
    <w:rsid w:val="00C931DC"/>
    <w:rsid w:val="00C94565"/>
    <w:rsid w:val="00C96558"/>
    <w:rsid w:val="00CA122A"/>
    <w:rsid w:val="00CA1350"/>
    <w:rsid w:val="00CA14D5"/>
    <w:rsid w:val="00CA3190"/>
    <w:rsid w:val="00CA3B0F"/>
    <w:rsid w:val="00CA52FE"/>
    <w:rsid w:val="00CB103B"/>
    <w:rsid w:val="00CB1BAE"/>
    <w:rsid w:val="00CB26C4"/>
    <w:rsid w:val="00CB2CAD"/>
    <w:rsid w:val="00CB3585"/>
    <w:rsid w:val="00CB39F0"/>
    <w:rsid w:val="00CB427A"/>
    <w:rsid w:val="00CB733D"/>
    <w:rsid w:val="00CC0E7F"/>
    <w:rsid w:val="00CC109E"/>
    <w:rsid w:val="00CC3FD5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3400"/>
    <w:rsid w:val="00D24BC2"/>
    <w:rsid w:val="00D26C9E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52DE"/>
    <w:rsid w:val="00D5069F"/>
    <w:rsid w:val="00D5244B"/>
    <w:rsid w:val="00D53600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91DC0"/>
    <w:rsid w:val="00D97740"/>
    <w:rsid w:val="00DA047B"/>
    <w:rsid w:val="00DA10CA"/>
    <w:rsid w:val="00DA24AF"/>
    <w:rsid w:val="00DA54A2"/>
    <w:rsid w:val="00DA7DC3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9C3"/>
    <w:rsid w:val="00DE4383"/>
    <w:rsid w:val="00DE745D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6E26"/>
    <w:rsid w:val="00E36F06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802F9"/>
    <w:rsid w:val="00E8467B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7C9A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935776-A711-47AE-A4E9-790FF90F5FD3}"/>
</file>

<file path=customXml/itemProps2.xml><?xml version="1.0" encoding="utf-8"?>
<ds:datastoreItem xmlns:ds="http://schemas.openxmlformats.org/officeDocument/2006/customXml" ds:itemID="{4E2502FC-F3B7-4FD6-936D-A0493FB94769}"/>
</file>

<file path=customXml/itemProps3.xml><?xml version="1.0" encoding="utf-8"?>
<ds:datastoreItem xmlns:ds="http://schemas.openxmlformats.org/officeDocument/2006/customXml" ds:itemID="{7C592626-6F9D-4E6C-AE32-6F75D7FB0885}"/>
</file>

<file path=customXml/itemProps4.xml><?xml version="1.0" encoding="utf-8"?>
<ds:datastoreItem xmlns:ds="http://schemas.openxmlformats.org/officeDocument/2006/customXml" ds:itemID="{03794CF8-B04F-4654-859D-82C2D20E3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28</Pages>
  <Words>7354</Words>
  <Characters>41923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2908</cp:revision>
  <cp:lastPrinted>2020-09-23T09:17:00Z</cp:lastPrinted>
  <dcterms:created xsi:type="dcterms:W3CDTF">2019-09-12T05:14:00Z</dcterms:created>
  <dcterms:modified xsi:type="dcterms:W3CDTF">2020-09-24T10:41:00Z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