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7.xml" ContentType="application/vnd.openxmlformats-officedocument.drawingml.chart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2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9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1" w:rsidRPr="00763E85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85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</w:t>
      </w:r>
      <w:proofErr w:type="gramStart"/>
      <w:r w:rsidRPr="00763E8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63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1D" w:rsidRPr="00763E85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85">
        <w:rPr>
          <w:rFonts w:ascii="Times New Roman" w:hAnsi="Times New Roman" w:cs="Times New Roman"/>
          <w:b/>
          <w:sz w:val="28"/>
          <w:szCs w:val="28"/>
        </w:rPr>
        <w:t>городами-</w:t>
      </w:r>
      <w:proofErr w:type="spellStart"/>
      <w:r w:rsidRPr="00763E85">
        <w:rPr>
          <w:rFonts w:ascii="Times New Roman" w:hAnsi="Times New Roman" w:cs="Times New Roman"/>
          <w:b/>
          <w:sz w:val="28"/>
          <w:szCs w:val="28"/>
        </w:rPr>
        <w:t>миллиониками</w:t>
      </w:r>
      <w:proofErr w:type="spellEnd"/>
      <w:r w:rsidRPr="00763E85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740C5" w:rsidRPr="00763E85">
        <w:rPr>
          <w:rFonts w:ascii="Times New Roman" w:hAnsi="Times New Roman" w:cs="Times New Roman"/>
          <w:b/>
          <w:sz w:val="28"/>
          <w:szCs w:val="28"/>
        </w:rPr>
        <w:t>1</w:t>
      </w:r>
      <w:r w:rsidRPr="00763E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F28" w:rsidRPr="00763E85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5930DB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DB">
        <w:rPr>
          <w:rFonts w:ascii="Times New Roman" w:hAnsi="Times New Roman" w:cs="Times New Roman"/>
          <w:sz w:val="28"/>
          <w:szCs w:val="28"/>
        </w:rPr>
        <w:t>А</w:t>
      </w:r>
      <w:r w:rsidR="00C82895" w:rsidRPr="005930DB">
        <w:rPr>
          <w:rFonts w:ascii="Times New Roman" w:hAnsi="Times New Roman" w:cs="Times New Roman"/>
          <w:sz w:val="28"/>
          <w:szCs w:val="28"/>
        </w:rPr>
        <w:t>нализ социально-экономических показателей проводится среди 13</w:t>
      </w:r>
      <w:r w:rsidR="00C70319" w:rsidRPr="005930DB">
        <w:rPr>
          <w:rFonts w:ascii="Times New Roman" w:hAnsi="Times New Roman" w:cs="Times New Roman"/>
          <w:sz w:val="28"/>
          <w:szCs w:val="28"/>
        </w:rPr>
        <w:t> </w:t>
      </w:r>
      <w:r w:rsidR="00C82895" w:rsidRPr="005930DB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6B07E4" w:rsidRPr="005930DB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5930DB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5930DB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5930DB">
        <w:rPr>
          <w:rFonts w:ascii="Times New Roman" w:hAnsi="Times New Roman" w:cs="Times New Roman"/>
          <w:sz w:val="28"/>
          <w:szCs w:val="28"/>
        </w:rPr>
        <w:t>.</w:t>
      </w:r>
    </w:p>
    <w:p w:rsidR="00F523BA" w:rsidRPr="00763E85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D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E6B70" w:rsidRPr="005930DB">
        <w:rPr>
          <w:rFonts w:ascii="Times New Roman" w:hAnsi="Times New Roman" w:cs="Times New Roman"/>
          <w:sz w:val="28"/>
          <w:szCs w:val="28"/>
        </w:rPr>
        <w:t>Красноя</w:t>
      </w:r>
      <w:proofErr w:type="gramStart"/>
      <w:r w:rsidR="007E6B70" w:rsidRPr="005930DB">
        <w:rPr>
          <w:rFonts w:ascii="Times New Roman" w:hAnsi="Times New Roman" w:cs="Times New Roman"/>
          <w:sz w:val="28"/>
          <w:szCs w:val="28"/>
        </w:rPr>
        <w:t xml:space="preserve">рск </w:t>
      </w:r>
      <w:r w:rsidR="00763E85" w:rsidRPr="005930D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763E85" w:rsidRPr="005930DB">
        <w:rPr>
          <w:rFonts w:ascii="Times New Roman" w:hAnsi="Times New Roman" w:cs="Times New Roman"/>
          <w:sz w:val="28"/>
          <w:szCs w:val="28"/>
        </w:rPr>
        <w:t xml:space="preserve">еди городов – </w:t>
      </w:r>
      <w:proofErr w:type="spellStart"/>
      <w:r w:rsidR="00763E85" w:rsidRPr="005930DB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="00763E85" w:rsidRPr="005930DB">
        <w:rPr>
          <w:rFonts w:ascii="Times New Roman" w:hAnsi="Times New Roman" w:cs="Times New Roman"/>
          <w:sz w:val="28"/>
          <w:szCs w:val="28"/>
        </w:rPr>
        <w:t xml:space="preserve"> </w:t>
      </w:r>
      <w:r w:rsidR="006B07E4" w:rsidRPr="005930D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6B07E4" w:rsidRPr="005930DB">
        <w:rPr>
          <w:rFonts w:ascii="Times New Roman" w:hAnsi="Times New Roman" w:cs="Times New Roman"/>
          <w:b/>
          <w:sz w:val="28"/>
          <w:szCs w:val="28"/>
        </w:rPr>
        <w:t>1</w:t>
      </w:r>
      <w:r w:rsidR="00F53A17" w:rsidRPr="005930DB">
        <w:rPr>
          <w:rFonts w:ascii="Times New Roman" w:hAnsi="Times New Roman" w:cs="Times New Roman"/>
          <w:b/>
          <w:sz w:val="28"/>
          <w:szCs w:val="28"/>
        </w:rPr>
        <w:t>0</w:t>
      </w:r>
      <w:r w:rsidR="006B07E4" w:rsidRPr="005930DB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7E6B70" w:rsidRPr="005930DB">
        <w:rPr>
          <w:rFonts w:ascii="Times New Roman" w:hAnsi="Times New Roman" w:cs="Times New Roman"/>
          <w:b/>
          <w:sz w:val="28"/>
          <w:szCs w:val="28"/>
        </w:rPr>
        <w:t>по численности населения</w:t>
      </w:r>
      <w:r w:rsidR="007E6B70" w:rsidRPr="005930DB">
        <w:rPr>
          <w:rFonts w:ascii="Times New Roman" w:hAnsi="Times New Roman" w:cs="Times New Roman"/>
          <w:sz w:val="28"/>
          <w:szCs w:val="28"/>
        </w:rPr>
        <w:t xml:space="preserve"> </w:t>
      </w:r>
      <w:r w:rsidRPr="005930DB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763E85" w:rsidRPr="005930DB">
        <w:rPr>
          <w:rFonts w:ascii="Times New Roman" w:hAnsi="Times New Roman" w:cs="Times New Roman"/>
          <w:sz w:val="28"/>
          <w:szCs w:val="28"/>
        </w:rPr>
        <w:t xml:space="preserve">2021 </w:t>
      </w:r>
      <w:r w:rsidRPr="005930DB">
        <w:rPr>
          <w:rFonts w:ascii="Times New Roman" w:hAnsi="Times New Roman" w:cs="Times New Roman"/>
          <w:sz w:val="28"/>
          <w:szCs w:val="28"/>
        </w:rPr>
        <w:t>года</w:t>
      </w:r>
      <w:r w:rsidR="00F53A17" w:rsidRPr="005930DB">
        <w:rPr>
          <w:rFonts w:ascii="Times New Roman" w:hAnsi="Times New Roman" w:cs="Times New Roman"/>
          <w:sz w:val="28"/>
          <w:szCs w:val="28"/>
        </w:rPr>
        <w:t>, опережая Пермь</w:t>
      </w:r>
      <w:r w:rsidR="00236E22" w:rsidRPr="005930DB">
        <w:rPr>
          <w:rFonts w:ascii="Times New Roman" w:hAnsi="Times New Roman" w:cs="Times New Roman"/>
          <w:sz w:val="28"/>
          <w:szCs w:val="28"/>
        </w:rPr>
        <w:t>,</w:t>
      </w:r>
      <w:r w:rsidR="007E6B70" w:rsidRPr="005930DB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5930DB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="00C82895" w:rsidRPr="005930DB">
        <w:rPr>
          <w:rFonts w:ascii="Times New Roman" w:hAnsi="Times New Roman" w:cs="Times New Roman"/>
          <w:sz w:val="28"/>
          <w:szCs w:val="28"/>
        </w:rPr>
        <w:t>и Волгоград</w:t>
      </w:r>
      <w:r w:rsidR="007E6B70" w:rsidRPr="005930DB">
        <w:rPr>
          <w:rFonts w:ascii="Times New Roman" w:hAnsi="Times New Roman" w:cs="Times New Roman"/>
          <w:sz w:val="28"/>
          <w:szCs w:val="28"/>
        </w:rPr>
        <w:t>.</w:t>
      </w:r>
      <w:r w:rsidR="005930DB" w:rsidRPr="005930DB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5930DB">
        <w:rPr>
          <w:rFonts w:ascii="Times New Roman" w:hAnsi="Times New Roman" w:cs="Times New Roman"/>
          <w:b/>
          <w:sz w:val="28"/>
          <w:szCs w:val="28"/>
        </w:rPr>
        <w:t xml:space="preserve">Среди городов Сибирского федерального округа </w:t>
      </w:r>
      <w:r w:rsidR="006A6CCA" w:rsidRPr="005930DB">
        <w:rPr>
          <w:rFonts w:ascii="Times New Roman" w:hAnsi="Times New Roman" w:cs="Times New Roman"/>
          <w:b/>
          <w:sz w:val="28"/>
          <w:szCs w:val="28"/>
        </w:rPr>
        <w:t>(СФО)</w:t>
      </w:r>
      <w:r w:rsidR="006A6CCA" w:rsidRPr="005930DB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5930DB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 w:rsidR="00F523BA" w:rsidRPr="005930DB">
        <w:rPr>
          <w:rFonts w:ascii="Times New Roman" w:hAnsi="Times New Roman" w:cs="Times New Roman"/>
          <w:b/>
          <w:sz w:val="28"/>
          <w:szCs w:val="28"/>
        </w:rPr>
        <w:t>3 место</w:t>
      </w:r>
      <w:r w:rsidR="00F523BA" w:rsidRPr="005930DB">
        <w:rPr>
          <w:rFonts w:ascii="Times New Roman" w:hAnsi="Times New Roman" w:cs="Times New Roman"/>
          <w:sz w:val="28"/>
          <w:szCs w:val="28"/>
        </w:rPr>
        <w:t xml:space="preserve"> по численности населения</w:t>
      </w:r>
      <w:r w:rsidR="003C3A41" w:rsidRPr="005930DB">
        <w:rPr>
          <w:rFonts w:ascii="Times New Roman" w:hAnsi="Times New Roman" w:cs="Times New Roman"/>
          <w:sz w:val="28"/>
          <w:szCs w:val="28"/>
        </w:rPr>
        <w:t>.</w:t>
      </w:r>
    </w:p>
    <w:p w:rsidR="00C82895" w:rsidRPr="00763E85" w:rsidRDefault="00C82895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F5D0B" wp14:editId="1D215101">
            <wp:extent cx="65436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0DB" w:rsidRDefault="005930D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3A41" w:rsidRPr="00763E85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A">
        <w:rPr>
          <w:rFonts w:ascii="Times New Roman" w:hAnsi="Times New Roman" w:cs="Times New Roman"/>
          <w:sz w:val="28"/>
          <w:szCs w:val="28"/>
        </w:rPr>
        <w:t>На 01.</w:t>
      </w:r>
      <w:r w:rsidR="00031998" w:rsidRPr="00C408CA">
        <w:rPr>
          <w:rFonts w:ascii="Times New Roman" w:hAnsi="Times New Roman" w:cs="Times New Roman"/>
          <w:sz w:val="28"/>
          <w:szCs w:val="28"/>
        </w:rPr>
        <w:t>01</w:t>
      </w:r>
      <w:r w:rsidRPr="00C408CA">
        <w:rPr>
          <w:rFonts w:ascii="Times New Roman" w:hAnsi="Times New Roman" w:cs="Times New Roman"/>
          <w:sz w:val="28"/>
          <w:szCs w:val="28"/>
        </w:rPr>
        <w:t>.202</w:t>
      </w:r>
      <w:r w:rsidR="00031998" w:rsidRPr="00C408CA">
        <w:rPr>
          <w:rFonts w:ascii="Times New Roman" w:hAnsi="Times New Roman" w:cs="Times New Roman"/>
          <w:sz w:val="28"/>
          <w:szCs w:val="28"/>
        </w:rPr>
        <w:t>2</w:t>
      </w:r>
      <w:r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C408CA">
        <w:rPr>
          <w:rFonts w:ascii="Times New Roman" w:hAnsi="Times New Roman" w:cs="Times New Roman"/>
          <w:sz w:val="28"/>
          <w:szCs w:val="28"/>
        </w:rPr>
        <w:t>г</w:t>
      </w:r>
      <w:r w:rsidR="00BA383E" w:rsidRPr="00C408CA">
        <w:rPr>
          <w:rFonts w:ascii="Times New Roman" w:hAnsi="Times New Roman" w:cs="Times New Roman"/>
          <w:sz w:val="28"/>
          <w:szCs w:val="28"/>
        </w:rPr>
        <w:t>ород Красноярск вошел в</w:t>
      </w:r>
      <w:r w:rsidR="007E6B70"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DB29D7" w:rsidRPr="00C408CA">
        <w:rPr>
          <w:rFonts w:ascii="Times New Roman" w:hAnsi="Times New Roman" w:cs="Times New Roman"/>
          <w:sz w:val="28"/>
          <w:szCs w:val="28"/>
        </w:rPr>
        <w:t>пятер</w:t>
      </w:r>
      <w:r w:rsidR="007E6B70" w:rsidRPr="00C408CA">
        <w:rPr>
          <w:rFonts w:ascii="Times New Roman" w:hAnsi="Times New Roman" w:cs="Times New Roman"/>
          <w:sz w:val="28"/>
          <w:szCs w:val="28"/>
        </w:rPr>
        <w:t xml:space="preserve">ку лидеров </w:t>
      </w:r>
      <w:r w:rsidR="008B5377" w:rsidRPr="00C408CA">
        <w:rPr>
          <w:rFonts w:ascii="Times New Roman" w:hAnsi="Times New Roman" w:cs="Times New Roman"/>
          <w:b/>
          <w:sz w:val="28"/>
          <w:szCs w:val="28"/>
        </w:rPr>
        <w:t>по числу родившихся на тысячу населения</w:t>
      </w:r>
      <w:r w:rsidR="008B5377" w:rsidRPr="00C408CA">
        <w:rPr>
          <w:rFonts w:ascii="Times New Roman" w:hAnsi="Times New Roman" w:cs="Times New Roman"/>
          <w:sz w:val="28"/>
          <w:szCs w:val="28"/>
        </w:rPr>
        <w:t xml:space="preserve">, заняв </w:t>
      </w:r>
      <w:r w:rsidR="00DB29D7" w:rsidRPr="00C408CA">
        <w:rPr>
          <w:rFonts w:ascii="Times New Roman" w:hAnsi="Times New Roman" w:cs="Times New Roman"/>
          <w:b/>
          <w:sz w:val="28"/>
          <w:szCs w:val="28"/>
        </w:rPr>
        <w:t>5</w:t>
      </w:r>
      <w:r w:rsidR="008B5377" w:rsidRPr="00C408C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B5377"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6B07E4" w:rsidRPr="00C408CA">
        <w:rPr>
          <w:rFonts w:ascii="Times New Roman" w:hAnsi="Times New Roman" w:cs="Times New Roman"/>
          <w:sz w:val="28"/>
          <w:szCs w:val="28"/>
        </w:rPr>
        <w:t>и</w:t>
      </w:r>
      <w:r w:rsidR="003515AB" w:rsidRPr="00C408CA">
        <w:rPr>
          <w:rFonts w:ascii="Times New Roman" w:hAnsi="Times New Roman" w:cs="Times New Roman"/>
          <w:sz w:val="28"/>
          <w:szCs w:val="28"/>
        </w:rPr>
        <w:t xml:space="preserve"> уступая город</w:t>
      </w:r>
      <w:r w:rsidR="006B07E4" w:rsidRPr="00C408CA">
        <w:rPr>
          <w:rFonts w:ascii="Times New Roman" w:hAnsi="Times New Roman" w:cs="Times New Roman"/>
          <w:sz w:val="28"/>
          <w:szCs w:val="28"/>
        </w:rPr>
        <w:t>ам</w:t>
      </w:r>
      <w:r w:rsidR="00D13CE3"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6B07E4" w:rsidRPr="00C408CA">
        <w:rPr>
          <w:rFonts w:ascii="Times New Roman" w:hAnsi="Times New Roman" w:cs="Times New Roman"/>
          <w:sz w:val="28"/>
          <w:szCs w:val="28"/>
        </w:rPr>
        <w:t>Казань</w:t>
      </w:r>
      <w:r w:rsidR="00DB29D7" w:rsidRPr="00C408CA">
        <w:rPr>
          <w:rFonts w:ascii="Times New Roman" w:hAnsi="Times New Roman" w:cs="Times New Roman"/>
          <w:sz w:val="28"/>
          <w:szCs w:val="28"/>
        </w:rPr>
        <w:t>,</w:t>
      </w:r>
      <w:r w:rsidR="006B07E4"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D13CE3" w:rsidRPr="00C408CA">
        <w:rPr>
          <w:rFonts w:ascii="Times New Roman" w:hAnsi="Times New Roman" w:cs="Times New Roman"/>
          <w:sz w:val="28"/>
          <w:szCs w:val="28"/>
        </w:rPr>
        <w:t>Екатеринбург</w:t>
      </w:r>
      <w:r w:rsidR="003C3A41" w:rsidRPr="00C408CA">
        <w:rPr>
          <w:rFonts w:ascii="Times New Roman" w:hAnsi="Times New Roman" w:cs="Times New Roman"/>
          <w:sz w:val="28"/>
          <w:szCs w:val="28"/>
        </w:rPr>
        <w:t>,</w:t>
      </w:r>
      <w:r w:rsidR="00DB29D7" w:rsidRPr="00C408CA">
        <w:rPr>
          <w:rFonts w:ascii="Times New Roman" w:hAnsi="Times New Roman" w:cs="Times New Roman"/>
          <w:sz w:val="28"/>
          <w:szCs w:val="28"/>
        </w:rPr>
        <w:t xml:space="preserve"> Челябинск, Новосибирск. </w:t>
      </w:r>
      <w:r w:rsidR="00DB29D7" w:rsidRPr="00C408CA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C408CA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C408CA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C4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9D7" w:rsidRPr="00C408CA">
        <w:rPr>
          <w:rFonts w:ascii="Times New Roman" w:hAnsi="Times New Roman" w:cs="Times New Roman"/>
          <w:b/>
          <w:sz w:val="28"/>
          <w:szCs w:val="28"/>
        </w:rPr>
        <w:t>2</w:t>
      </w:r>
      <w:r w:rsidR="003C3A41" w:rsidRPr="00C408C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B29D7" w:rsidRPr="00C408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9D7" w:rsidRPr="00C408CA">
        <w:rPr>
          <w:rFonts w:ascii="Times New Roman" w:hAnsi="Times New Roman" w:cs="Times New Roman"/>
          <w:sz w:val="28"/>
          <w:szCs w:val="28"/>
        </w:rPr>
        <w:t>уступая Новосибирску</w:t>
      </w:r>
      <w:r w:rsidR="00841FE4" w:rsidRPr="00C408CA">
        <w:rPr>
          <w:rFonts w:ascii="Times New Roman" w:hAnsi="Times New Roman" w:cs="Times New Roman"/>
          <w:sz w:val="28"/>
          <w:szCs w:val="28"/>
        </w:rPr>
        <w:t xml:space="preserve"> и опережая Омск</w:t>
      </w:r>
      <w:r w:rsidR="003C3A41" w:rsidRPr="00C408CA">
        <w:rPr>
          <w:rFonts w:ascii="Times New Roman" w:hAnsi="Times New Roman" w:cs="Times New Roman"/>
          <w:sz w:val="28"/>
          <w:szCs w:val="28"/>
        </w:rPr>
        <w:t>.</w:t>
      </w:r>
    </w:p>
    <w:p w:rsidR="00BA383E" w:rsidRPr="00763E85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D5D52" wp14:editId="4161D0FB">
            <wp:extent cx="6467475" cy="1714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C408CA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A">
        <w:rPr>
          <w:rFonts w:ascii="Times New Roman" w:hAnsi="Times New Roman" w:cs="Times New Roman"/>
          <w:b/>
          <w:sz w:val="28"/>
          <w:szCs w:val="28"/>
        </w:rPr>
        <w:t xml:space="preserve">По количеству </w:t>
      </w:r>
      <w:proofErr w:type="gramStart"/>
      <w:r w:rsidRPr="00C408CA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C408CA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C408CA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C408CA">
        <w:rPr>
          <w:rFonts w:ascii="Times New Roman" w:hAnsi="Times New Roman" w:cs="Times New Roman"/>
          <w:sz w:val="28"/>
          <w:szCs w:val="28"/>
        </w:rPr>
        <w:t xml:space="preserve"> 2</w:t>
      </w:r>
      <w:r w:rsidR="00B40C10" w:rsidRPr="00C408CA">
        <w:rPr>
          <w:rFonts w:ascii="Times New Roman" w:hAnsi="Times New Roman" w:cs="Times New Roman"/>
          <w:sz w:val="28"/>
          <w:szCs w:val="28"/>
        </w:rPr>
        <w:t> мест</w:t>
      </w:r>
      <w:r w:rsidR="00031998" w:rsidRPr="00C408CA">
        <w:rPr>
          <w:rFonts w:ascii="Times New Roman" w:hAnsi="Times New Roman" w:cs="Times New Roman"/>
          <w:sz w:val="28"/>
          <w:szCs w:val="28"/>
        </w:rPr>
        <w:t>о, уступая Казани</w:t>
      </w:r>
      <w:r w:rsidR="00C111DB" w:rsidRPr="00C408CA">
        <w:rPr>
          <w:rFonts w:ascii="Times New Roman" w:hAnsi="Times New Roman" w:cs="Times New Roman"/>
          <w:sz w:val="28"/>
          <w:szCs w:val="28"/>
        </w:rPr>
        <w:t>,</w:t>
      </w:r>
      <w:r w:rsidR="00320888" w:rsidRPr="00C408CA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C111DB" w:rsidRPr="00C408CA">
        <w:rPr>
          <w:rFonts w:ascii="Times New Roman" w:hAnsi="Times New Roman" w:cs="Times New Roman"/>
          <w:sz w:val="28"/>
          <w:szCs w:val="28"/>
        </w:rPr>
        <w:t>ей</w:t>
      </w:r>
      <w:r w:rsidR="00320888"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C111DB" w:rsidRPr="00C408CA">
        <w:rPr>
          <w:rFonts w:ascii="Times New Roman" w:hAnsi="Times New Roman" w:cs="Times New Roman"/>
          <w:sz w:val="28"/>
          <w:szCs w:val="28"/>
        </w:rPr>
        <w:t>самое</w:t>
      </w:r>
      <w:r w:rsidR="00320888" w:rsidRPr="00C408CA">
        <w:rPr>
          <w:rFonts w:ascii="Times New Roman" w:hAnsi="Times New Roman" w:cs="Times New Roman"/>
          <w:sz w:val="28"/>
          <w:szCs w:val="28"/>
        </w:rPr>
        <w:t xml:space="preserve"> низк</w:t>
      </w:r>
      <w:r w:rsidR="00C111DB" w:rsidRPr="00C408CA">
        <w:rPr>
          <w:rFonts w:ascii="Times New Roman" w:hAnsi="Times New Roman" w:cs="Times New Roman"/>
          <w:sz w:val="28"/>
          <w:szCs w:val="28"/>
        </w:rPr>
        <w:t>ое</w:t>
      </w:r>
      <w:r w:rsidR="00320888"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8A6B85" w:rsidRPr="00C408CA">
        <w:rPr>
          <w:rFonts w:ascii="Times New Roman" w:hAnsi="Times New Roman" w:cs="Times New Roman"/>
          <w:sz w:val="28"/>
          <w:szCs w:val="28"/>
        </w:rPr>
        <w:t>значени</w:t>
      </w:r>
      <w:r w:rsidR="00C111DB" w:rsidRPr="00C408CA">
        <w:rPr>
          <w:rFonts w:ascii="Times New Roman" w:hAnsi="Times New Roman" w:cs="Times New Roman"/>
          <w:sz w:val="28"/>
          <w:szCs w:val="28"/>
        </w:rPr>
        <w:t>е</w:t>
      </w:r>
      <w:r w:rsidR="008A6B85" w:rsidRPr="00C408CA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320888" w:rsidRPr="00C408CA">
        <w:rPr>
          <w:rFonts w:ascii="Times New Roman" w:hAnsi="Times New Roman" w:cs="Times New Roman"/>
          <w:sz w:val="28"/>
          <w:szCs w:val="28"/>
        </w:rPr>
        <w:t>показател</w:t>
      </w:r>
      <w:r w:rsidR="008A6B85" w:rsidRPr="00C408CA">
        <w:rPr>
          <w:rFonts w:ascii="Times New Roman" w:hAnsi="Times New Roman" w:cs="Times New Roman"/>
          <w:sz w:val="28"/>
          <w:szCs w:val="28"/>
        </w:rPr>
        <w:t>я</w:t>
      </w:r>
      <w:r w:rsidR="006A6CCA" w:rsidRPr="00C408CA">
        <w:rPr>
          <w:rFonts w:ascii="Times New Roman" w:hAnsi="Times New Roman" w:cs="Times New Roman"/>
          <w:sz w:val="28"/>
          <w:szCs w:val="28"/>
        </w:rPr>
        <w:t>.</w:t>
      </w:r>
    </w:p>
    <w:p w:rsidR="00C70319" w:rsidRPr="00C408CA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2B9A3" wp14:editId="25F88951">
            <wp:extent cx="6619875" cy="1704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6B70" w:rsidRPr="00763E85" w:rsidRDefault="000615F3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408CA" w:rsidRPr="00C408CA">
        <w:rPr>
          <w:rFonts w:ascii="Times New Roman" w:hAnsi="Times New Roman" w:cs="Times New Roman"/>
          <w:sz w:val="28"/>
          <w:szCs w:val="28"/>
        </w:rPr>
        <w:t>2021</w:t>
      </w:r>
      <w:r w:rsidR="00B73A63" w:rsidRPr="00C408C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36E22" w:rsidRPr="00C408CA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C408CA">
        <w:rPr>
          <w:rFonts w:ascii="Times New Roman" w:hAnsi="Times New Roman" w:cs="Times New Roman"/>
          <w:sz w:val="28"/>
          <w:szCs w:val="28"/>
        </w:rPr>
        <w:t>город</w:t>
      </w:r>
      <w:r w:rsidR="00236E22" w:rsidRPr="00C408CA">
        <w:rPr>
          <w:rFonts w:ascii="Times New Roman" w:hAnsi="Times New Roman" w:cs="Times New Roman"/>
          <w:sz w:val="28"/>
          <w:szCs w:val="28"/>
        </w:rPr>
        <w:t>ах</w:t>
      </w:r>
      <w:r w:rsidRPr="00C408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08CA">
        <w:rPr>
          <w:rFonts w:ascii="Times New Roman" w:hAnsi="Times New Roman" w:cs="Times New Roman"/>
          <w:sz w:val="28"/>
          <w:szCs w:val="28"/>
        </w:rPr>
        <w:t>миллионик</w:t>
      </w:r>
      <w:r w:rsidR="00236E22" w:rsidRPr="00C408CA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C408CA">
        <w:rPr>
          <w:rFonts w:ascii="Times New Roman" w:hAnsi="Times New Roman" w:cs="Times New Roman"/>
          <w:sz w:val="28"/>
          <w:szCs w:val="28"/>
        </w:rPr>
        <w:t xml:space="preserve">зафиксирована </w:t>
      </w:r>
      <w:r w:rsidRPr="00C408CA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Pr="00C408CA">
        <w:rPr>
          <w:rFonts w:ascii="Times New Roman" w:hAnsi="Times New Roman" w:cs="Times New Roman"/>
          <w:sz w:val="28"/>
          <w:szCs w:val="28"/>
        </w:rPr>
        <w:t xml:space="preserve">. Город </w:t>
      </w:r>
      <w:r w:rsidR="007E6B70" w:rsidRPr="00C408CA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Pr="00C408CA">
        <w:rPr>
          <w:rFonts w:ascii="Times New Roman" w:hAnsi="Times New Roman" w:cs="Times New Roman"/>
          <w:sz w:val="28"/>
          <w:szCs w:val="28"/>
        </w:rPr>
        <w:t xml:space="preserve">по данному показателю занимает </w:t>
      </w:r>
      <w:r w:rsidR="007E6B70" w:rsidRPr="00C408CA">
        <w:rPr>
          <w:rFonts w:ascii="Times New Roman" w:hAnsi="Times New Roman" w:cs="Times New Roman"/>
          <w:b/>
          <w:sz w:val="28"/>
          <w:szCs w:val="28"/>
        </w:rPr>
        <w:t>2 место</w:t>
      </w:r>
      <w:r w:rsidR="007E6B70" w:rsidRPr="00C408CA">
        <w:rPr>
          <w:rFonts w:ascii="Times New Roman" w:hAnsi="Times New Roman" w:cs="Times New Roman"/>
          <w:sz w:val="28"/>
          <w:szCs w:val="28"/>
        </w:rPr>
        <w:t>, уступив только городу Казан</w:t>
      </w:r>
      <w:r w:rsidR="006A6CCA" w:rsidRPr="00C408CA">
        <w:rPr>
          <w:rFonts w:ascii="Times New Roman" w:hAnsi="Times New Roman" w:cs="Times New Roman"/>
          <w:sz w:val="28"/>
          <w:szCs w:val="28"/>
        </w:rPr>
        <w:t>и</w:t>
      </w:r>
      <w:r w:rsidR="007E6B70" w:rsidRPr="00C408CA">
        <w:rPr>
          <w:rFonts w:ascii="Times New Roman" w:hAnsi="Times New Roman" w:cs="Times New Roman"/>
          <w:sz w:val="28"/>
          <w:szCs w:val="28"/>
        </w:rPr>
        <w:t>.</w:t>
      </w:r>
      <w:r w:rsidR="003C3A41" w:rsidRPr="00C408CA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C408CA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AB5F28" w:rsidRPr="00763E85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807EC" wp14:editId="5644D5FB">
            <wp:extent cx="6477000" cy="1752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F4F" w:rsidRPr="005930DB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Pr="00763E85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3F0810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3F0810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3F0810">
        <w:rPr>
          <w:rFonts w:ascii="Times New Roman" w:hAnsi="Times New Roman" w:cs="Times New Roman"/>
          <w:sz w:val="28"/>
          <w:szCs w:val="28"/>
        </w:rPr>
        <w:t xml:space="preserve"> на тысячу человек.</w:t>
      </w:r>
      <w:r w:rsidRPr="0076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68" w:rsidRPr="00763E85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1D1BB" wp14:editId="7167BAB6">
            <wp:extent cx="6477000" cy="2286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406" w:rsidRPr="00763E85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b/>
          <w:sz w:val="28"/>
          <w:szCs w:val="28"/>
        </w:rPr>
        <w:t>По числу выбывш</w:t>
      </w:r>
      <w:r w:rsidR="00D169DD" w:rsidRPr="003F0810">
        <w:rPr>
          <w:rFonts w:ascii="Times New Roman" w:hAnsi="Times New Roman" w:cs="Times New Roman"/>
          <w:b/>
          <w:sz w:val="28"/>
          <w:szCs w:val="28"/>
        </w:rPr>
        <w:t>их</w:t>
      </w:r>
      <w:r w:rsidRPr="003F0810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3F0810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Pr="003F0810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3F0810">
        <w:rPr>
          <w:rFonts w:ascii="Times New Roman" w:hAnsi="Times New Roman" w:cs="Times New Roman"/>
          <w:sz w:val="28"/>
          <w:szCs w:val="28"/>
        </w:rPr>
        <w:t>, напротив,</w:t>
      </w:r>
      <w:r w:rsidRPr="003F0810">
        <w:rPr>
          <w:rFonts w:ascii="Times New Roman" w:hAnsi="Times New Roman" w:cs="Times New Roman"/>
          <w:sz w:val="28"/>
          <w:szCs w:val="28"/>
        </w:rPr>
        <w:t xml:space="preserve"> занял последнее 13 место. </w:t>
      </w:r>
    </w:p>
    <w:p w:rsidR="00D169DD" w:rsidRPr="00763E85" w:rsidRDefault="000A7F4F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2D8C5" wp14:editId="57F2D2C2">
            <wp:extent cx="6477000" cy="20383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470F" w:rsidRPr="00763E85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A3">
        <w:rPr>
          <w:rFonts w:ascii="Times New Roman" w:hAnsi="Times New Roman" w:cs="Times New Roman"/>
          <w:sz w:val="28"/>
          <w:szCs w:val="28"/>
        </w:rPr>
        <w:t xml:space="preserve">По </w:t>
      </w:r>
      <w:r w:rsidRPr="006906A3">
        <w:rPr>
          <w:rFonts w:ascii="Times New Roman" w:hAnsi="Times New Roman" w:cs="Times New Roman"/>
          <w:b/>
          <w:sz w:val="28"/>
          <w:szCs w:val="28"/>
        </w:rPr>
        <w:t>миграционному приросту</w:t>
      </w:r>
      <w:r w:rsidR="007C6E8B" w:rsidRPr="006906A3">
        <w:rPr>
          <w:rFonts w:ascii="Times New Roman" w:hAnsi="Times New Roman" w:cs="Times New Roman"/>
          <w:b/>
          <w:sz w:val="28"/>
          <w:szCs w:val="28"/>
        </w:rPr>
        <w:t xml:space="preserve"> (убыли)</w:t>
      </w:r>
      <w:r w:rsidRPr="006906A3">
        <w:rPr>
          <w:rFonts w:ascii="Times New Roman" w:hAnsi="Times New Roman" w:cs="Times New Roman"/>
          <w:sz w:val="28"/>
          <w:szCs w:val="28"/>
        </w:rPr>
        <w:t xml:space="preserve"> Красноярск </w:t>
      </w:r>
      <w:r w:rsidR="00F53A17" w:rsidRPr="006906A3">
        <w:rPr>
          <w:rFonts w:ascii="Times New Roman" w:hAnsi="Times New Roman" w:cs="Times New Roman"/>
          <w:sz w:val="28"/>
          <w:szCs w:val="28"/>
        </w:rPr>
        <w:t>со сложивш</w:t>
      </w:r>
      <w:r w:rsidR="00D169DD" w:rsidRPr="006906A3">
        <w:rPr>
          <w:rFonts w:ascii="Times New Roman" w:hAnsi="Times New Roman" w:cs="Times New Roman"/>
          <w:sz w:val="28"/>
          <w:szCs w:val="28"/>
        </w:rPr>
        <w:t>им</w:t>
      </w:r>
      <w:r w:rsidR="00F53A17" w:rsidRPr="006906A3">
        <w:rPr>
          <w:rFonts w:ascii="Times New Roman" w:hAnsi="Times New Roman" w:cs="Times New Roman"/>
          <w:sz w:val="28"/>
          <w:szCs w:val="28"/>
        </w:rPr>
        <w:t>ся миграционн</w:t>
      </w:r>
      <w:r w:rsidR="00D169DD" w:rsidRPr="006906A3">
        <w:rPr>
          <w:rFonts w:ascii="Times New Roman" w:hAnsi="Times New Roman" w:cs="Times New Roman"/>
          <w:sz w:val="28"/>
          <w:szCs w:val="28"/>
        </w:rPr>
        <w:t>ым</w:t>
      </w:r>
      <w:r w:rsidR="00F53A17" w:rsidRPr="006906A3">
        <w:rPr>
          <w:rFonts w:ascii="Times New Roman" w:hAnsi="Times New Roman" w:cs="Times New Roman"/>
          <w:sz w:val="28"/>
          <w:szCs w:val="28"/>
        </w:rPr>
        <w:t xml:space="preserve"> </w:t>
      </w:r>
      <w:r w:rsidR="00D169DD" w:rsidRPr="006906A3">
        <w:rPr>
          <w:rFonts w:ascii="Times New Roman" w:hAnsi="Times New Roman" w:cs="Times New Roman"/>
          <w:sz w:val="28"/>
          <w:szCs w:val="28"/>
        </w:rPr>
        <w:t>приростом</w:t>
      </w:r>
      <w:r w:rsidR="00F53A17" w:rsidRPr="006906A3">
        <w:rPr>
          <w:rFonts w:ascii="Times New Roman" w:hAnsi="Times New Roman" w:cs="Times New Roman"/>
          <w:sz w:val="28"/>
          <w:szCs w:val="28"/>
        </w:rPr>
        <w:t xml:space="preserve"> </w:t>
      </w:r>
      <w:r w:rsidR="002112BF" w:rsidRPr="006906A3">
        <w:rPr>
          <w:rFonts w:ascii="Times New Roman" w:hAnsi="Times New Roman" w:cs="Times New Roman"/>
          <w:sz w:val="28"/>
          <w:szCs w:val="28"/>
        </w:rPr>
        <w:t>населения</w:t>
      </w:r>
      <w:r w:rsidR="005D3AFC" w:rsidRPr="006906A3">
        <w:rPr>
          <w:rFonts w:ascii="Times New Roman" w:hAnsi="Times New Roman" w:cs="Times New Roman"/>
          <w:sz w:val="28"/>
          <w:szCs w:val="28"/>
        </w:rPr>
        <w:t>,</w:t>
      </w:r>
      <w:r w:rsidR="002112BF" w:rsidRPr="006906A3">
        <w:rPr>
          <w:rFonts w:ascii="Times New Roman" w:hAnsi="Times New Roman" w:cs="Times New Roman"/>
          <w:sz w:val="28"/>
          <w:szCs w:val="28"/>
        </w:rPr>
        <w:t xml:space="preserve"> как среди всех городов-</w:t>
      </w:r>
      <w:proofErr w:type="spellStart"/>
      <w:r w:rsidR="002112BF" w:rsidRPr="006906A3">
        <w:rPr>
          <w:rFonts w:ascii="Times New Roman" w:hAnsi="Times New Roman" w:cs="Times New Roman"/>
          <w:sz w:val="28"/>
          <w:szCs w:val="28"/>
        </w:rPr>
        <w:t>миллиоников</w:t>
      </w:r>
      <w:proofErr w:type="spellEnd"/>
      <w:r w:rsidR="002112BF" w:rsidRPr="006906A3">
        <w:rPr>
          <w:rFonts w:ascii="Times New Roman" w:hAnsi="Times New Roman" w:cs="Times New Roman"/>
          <w:sz w:val="28"/>
          <w:szCs w:val="28"/>
        </w:rPr>
        <w:t xml:space="preserve">, так и среди городов СФО </w:t>
      </w:r>
      <w:r w:rsidR="006B470F" w:rsidRPr="006906A3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A15E25" w:rsidRPr="006906A3">
        <w:rPr>
          <w:rFonts w:ascii="Times New Roman" w:hAnsi="Times New Roman" w:cs="Times New Roman"/>
          <w:b/>
          <w:sz w:val="28"/>
          <w:szCs w:val="28"/>
        </w:rPr>
        <w:t>1</w:t>
      </w:r>
      <w:r w:rsidR="006B470F" w:rsidRPr="006906A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B470F" w:rsidRPr="006906A3">
        <w:rPr>
          <w:rFonts w:ascii="Times New Roman" w:hAnsi="Times New Roman" w:cs="Times New Roman"/>
          <w:sz w:val="28"/>
          <w:szCs w:val="28"/>
        </w:rPr>
        <w:t>.</w:t>
      </w:r>
      <w:r w:rsidR="006B470F" w:rsidRPr="0076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DD" w:rsidRPr="00763E85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141545" w:rsidRPr="00763E85" w:rsidRDefault="005516B7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8C4A79" wp14:editId="3611D04F">
            <wp:simplePos x="0" y="0"/>
            <wp:positionH relativeFrom="column">
              <wp:posOffset>-120014</wp:posOffset>
            </wp:positionH>
            <wp:positionV relativeFrom="paragraph">
              <wp:posOffset>1075055</wp:posOffset>
            </wp:positionV>
            <wp:extent cx="6496050" cy="1924050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45"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1440F" wp14:editId="684CD9B9">
            <wp:extent cx="6477000" cy="13430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1647" w:rsidRPr="00763E85" w:rsidRDefault="00C91647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72EE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72EE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0810" w:rsidRDefault="003F0810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0FF" w:rsidRPr="003F0810" w:rsidRDefault="00C430FF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sz w:val="28"/>
          <w:szCs w:val="28"/>
        </w:rPr>
        <w:t xml:space="preserve">По среднесписочной численности работников </w:t>
      </w:r>
      <w:r w:rsidR="004B3B98" w:rsidRPr="003F0810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3F0810">
        <w:rPr>
          <w:rFonts w:ascii="Times New Roman" w:hAnsi="Times New Roman" w:cs="Times New Roman"/>
          <w:sz w:val="28"/>
          <w:szCs w:val="28"/>
        </w:rPr>
        <w:br/>
      </w:r>
      <w:r w:rsidRPr="003F0810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3F0810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3F0810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F53A17" w:rsidRPr="003F0810">
        <w:rPr>
          <w:rFonts w:ascii="Times New Roman" w:hAnsi="Times New Roman" w:cs="Times New Roman"/>
          <w:sz w:val="28"/>
          <w:szCs w:val="28"/>
        </w:rPr>
        <w:t>8</w:t>
      </w:r>
      <w:r w:rsidRPr="003F0810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3F0810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C91647" w:rsidRPr="003F0810">
        <w:rPr>
          <w:rFonts w:ascii="Times New Roman" w:hAnsi="Times New Roman" w:cs="Times New Roman"/>
          <w:b/>
          <w:sz w:val="28"/>
          <w:szCs w:val="28"/>
        </w:rPr>
        <w:t>.</w:t>
      </w:r>
    </w:p>
    <w:p w:rsidR="00C430FF" w:rsidRPr="003F0810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A58EB" wp14:editId="6D01F3B4">
            <wp:extent cx="6477000" cy="21431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72EE" w:rsidRPr="003F0810" w:rsidRDefault="00FB72EE" w:rsidP="00BA7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E8" w:rsidRPr="003F0810" w:rsidRDefault="00BA79E8" w:rsidP="00BA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b/>
          <w:sz w:val="28"/>
          <w:szCs w:val="28"/>
        </w:rPr>
        <w:t>По числу безработных граждан на тысячу человек населения</w:t>
      </w:r>
      <w:r w:rsidRPr="003F0810">
        <w:rPr>
          <w:rFonts w:ascii="Times New Roman" w:hAnsi="Times New Roman" w:cs="Times New Roman"/>
          <w:sz w:val="28"/>
          <w:szCs w:val="28"/>
        </w:rPr>
        <w:t xml:space="preserve"> город Красноярск зан</w:t>
      </w:r>
      <w:r w:rsidR="00884BEA" w:rsidRPr="003F0810">
        <w:rPr>
          <w:rFonts w:ascii="Times New Roman" w:hAnsi="Times New Roman" w:cs="Times New Roman"/>
          <w:sz w:val="28"/>
          <w:szCs w:val="28"/>
        </w:rPr>
        <w:t>имает</w:t>
      </w:r>
      <w:r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AC441A" w:rsidRPr="003F0810">
        <w:rPr>
          <w:rFonts w:ascii="Times New Roman" w:hAnsi="Times New Roman" w:cs="Times New Roman"/>
          <w:sz w:val="28"/>
          <w:szCs w:val="28"/>
        </w:rPr>
        <w:t>5</w:t>
      </w:r>
      <w:r w:rsidRPr="003F081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C441A" w:rsidRPr="003F0810">
        <w:rPr>
          <w:rFonts w:ascii="Times New Roman" w:hAnsi="Times New Roman" w:cs="Times New Roman"/>
          <w:sz w:val="28"/>
          <w:szCs w:val="28"/>
        </w:rPr>
        <w:t xml:space="preserve">. </w:t>
      </w:r>
      <w:r w:rsidRPr="003F0810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884BEA" w:rsidRPr="003F0810">
        <w:rPr>
          <w:rFonts w:ascii="Times New Roman" w:hAnsi="Times New Roman" w:cs="Times New Roman"/>
          <w:b/>
          <w:sz w:val="28"/>
          <w:szCs w:val="28"/>
        </w:rPr>
        <w:t>2</w:t>
      </w:r>
      <w:r w:rsidRPr="003F0810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BA79E8" w:rsidRPr="003F0810" w:rsidRDefault="00BA79E8" w:rsidP="00BA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3367" wp14:editId="3993EFBA">
            <wp:extent cx="6477000" cy="1990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1BEC" w:rsidRPr="00763E85" w:rsidRDefault="00110D47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53A17" w:rsidRPr="003F0810">
        <w:rPr>
          <w:rFonts w:ascii="Times New Roman" w:hAnsi="Times New Roman" w:cs="Times New Roman"/>
          <w:sz w:val="28"/>
          <w:szCs w:val="28"/>
        </w:rPr>
        <w:t>Красноярск</w:t>
      </w:r>
      <w:r w:rsidR="00957F9E" w:rsidRPr="003F0810">
        <w:rPr>
          <w:rFonts w:ascii="Times New Roman" w:hAnsi="Times New Roman" w:cs="Times New Roman"/>
          <w:sz w:val="28"/>
          <w:szCs w:val="28"/>
        </w:rPr>
        <w:t>, как и в предыдущие периоды,</w:t>
      </w:r>
      <w:r w:rsidR="00F53A17" w:rsidRPr="003F0810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Pr="003F0810">
        <w:rPr>
          <w:rFonts w:ascii="Times New Roman" w:hAnsi="Times New Roman" w:cs="Times New Roman"/>
          <w:sz w:val="28"/>
          <w:szCs w:val="28"/>
        </w:rPr>
        <w:br/>
      </w:r>
      <w:r w:rsidR="00884BEA" w:rsidRPr="003F081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BD1BEC" w:rsidRPr="003F0810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BD1BEC" w:rsidRPr="003F0810">
        <w:rPr>
          <w:rFonts w:ascii="Times New Roman" w:hAnsi="Times New Roman" w:cs="Times New Roman"/>
          <w:b/>
          <w:sz w:val="28"/>
          <w:szCs w:val="28"/>
        </w:rPr>
        <w:t>среднемесячн</w:t>
      </w:r>
      <w:r w:rsidR="00F53A17" w:rsidRPr="003F0810">
        <w:rPr>
          <w:rFonts w:ascii="Times New Roman" w:hAnsi="Times New Roman" w:cs="Times New Roman"/>
          <w:b/>
          <w:sz w:val="28"/>
          <w:szCs w:val="28"/>
        </w:rPr>
        <w:t>ая</w:t>
      </w:r>
      <w:r w:rsidR="00BD1BEC" w:rsidRPr="003F0810">
        <w:rPr>
          <w:rFonts w:ascii="Times New Roman" w:hAnsi="Times New Roman" w:cs="Times New Roman"/>
          <w:b/>
          <w:sz w:val="28"/>
          <w:szCs w:val="28"/>
        </w:rPr>
        <w:t xml:space="preserve"> заработн</w:t>
      </w:r>
      <w:r w:rsidR="00F53A17" w:rsidRPr="003F0810">
        <w:rPr>
          <w:rFonts w:ascii="Times New Roman" w:hAnsi="Times New Roman" w:cs="Times New Roman"/>
          <w:b/>
          <w:sz w:val="28"/>
          <w:szCs w:val="28"/>
        </w:rPr>
        <w:t>ая</w:t>
      </w:r>
      <w:r w:rsidR="00BD1BEC" w:rsidRPr="003F0810">
        <w:rPr>
          <w:rFonts w:ascii="Times New Roman" w:hAnsi="Times New Roman" w:cs="Times New Roman"/>
          <w:b/>
          <w:sz w:val="28"/>
          <w:szCs w:val="28"/>
        </w:rPr>
        <w:t xml:space="preserve"> плат</w:t>
      </w:r>
      <w:r w:rsidR="00F53A17" w:rsidRPr="003F0810">
        <w:rPr>
          <w:rFonts w:ascii="Times New Roman" w:hAnsi="Times New Roman" w:cs="Times New Roman"/>
          <w:b/>
          <w:sz w:val="28"/>
          <w:szCs w:val="28"/>
        </w:rPr>
        <w:t>а</w:t>
      </w:r>
      <w:r w:rsidR="00536D2F" w:rsidRPr="003F0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2F" w:rsidRPr="003F0810">
        <w:rPr>
          <w:rFonts w:ascii="Times New Roman" w:hAnsi="Times New Roman" w:cs="Times New Roman"/>
          <w:sz w:val="28"/>
          <w:szCs w:val="28"/>
        </w:rPr>
        <w:t>на</w:t>
      </w:r>
      <w:r w:rsidR="00536D2F" w:rsidRPr="003F0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2F" w:rsidRPr="003F0810">
        <w:rPr>
          <w:rFonts w:ascii="Times New Roman" w:hAnsi="Times New Roman" w:cs="Times New Roman"/>
          <w:sz w:val="28"/>
          <w:szCs w:val="28"/>
        </w:rPr>
        <w:t>крупных и средних организациях</w:t>
      </w:r>
      <w:r w:rsidR="00BD1BEC" w:rsidRPr="003F0810">
        <w:rPr>
          <w:rFonts w:ascii="Times New Roman" w:hAnsi="Times New Roman" w:cs="Times New Roman"/>
          <w:sz w:val="28"/>
          <w:szCs w:val="28"/>
        </w:rPr>
        <w:t xml:space="preserve">. В тройку также вошли Екатеринбург </w:t>
      </w:r>
      <w:r w:rsidR="00D207CE" w:rsidRPr="003F0810">
        <w:rPr>
          <w:rFonts w:ascii="Times New Roman" w:hAnsi="Times New Roman" w:cs="Times New Roman"/>
          <w:sz w:val="28"/>
          <w:szCs w:val="28"/>
        </w:rPr>
        <w:t xml:space="preserve">и </w:t>
      </w:r>
      <w:r w:rsidR="00957F9E" w:rsidRPr="003F0810">
        <w:rPr>
          <w:rFonts w:ascii="Times New Roman" w:hAnsi="Times New Roman" w:cs="Times New Roman"/>
          <w:sz w:val="28"/>
          <w:szCs w:val="28"/>
        </w:rPr>
        <w:t>Новосибирск</w:t>
      </w:r>
      <w:r w:rsidR="00BD1BEC" w:rsidRPr="003F0810">
        <w:rPr>
          <w:rFonts w:ascii="Times New Roman" w:hAnsi="Times New Roman" w:cs="Times New Roman"/>
          <w:sz w:val="28"/>
          <w:szCs w:val="28"/>
        </w:rPr>
        <w:t>.</w:t>
      </w:r>
      <w:r w:rsidR="00BD1BEC" w:rsidRPr="0076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C5" w:rsidRPr="00763E85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763E85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3BCFC" wp14:editId="3105CE1D">
            <wp:extent cx="6477000" cy="21336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581A" w:rsidRDefault="006040B0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10">
        <w:rPr>
          <w:rFonts w:ascii="Times New Roman" w:hAnsi="Times New Roman" w:cs="Times New Roman"/>
          <w:sz w:val="28"/>
          <w:szCs w:val="28"/>
        </w:rPr>
        <w:t>По итогам 2021 года</w:t>
      </w:r>
      <w:r w:rsidR="0018581A" w:rsidRPr="003F0810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771D15" w:rsidRPr="003F0810">
        <w:rPr>
          <w:rFonts w:ascii="Times New Roman" w:hAnsi="Times New Roman" w:cs="Times New Roman"/>
          <w:sz w:val="28"/>
          <w:szCs w:val="28"/>
        </w:rPr>
        <w:t>, по-прежнему</w:t>
      </w:r>
      <w:r w:rsidR="0018581A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771D15" w:rsidRPr="003F0810">
        <w:rPr>
          <w:rFonts w:ascii="Times New Roman" w:hAnsi="Times New Roman" w:cs="Times New Roman"/>
          <w:sz w:val="28"/>
          <w:szCs w:val="28"/>
        </w:rPr>
        <w:t>является</w:t>
      </w:r>
      <w:r w:rsidR="0018581A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2A3300" w:rsidRPr="003F0810">
        <w:rPr>
          <w:rFonts w:ascii="Times New Roman" w:hAnsi="Times New Roman" w:cs="Times New Roman"/>
          <w:b/>
          <w:sz w:val="28"/>
          <w:szCs w:val="28"/>
        </w:rPr>
        <w:t xml:space="preserve">абсолютным </w:t>
      </w:r>
      <w:r w:rsidR="0018581A" w:rsidRPr="003F0810">
        <w:rPr>
          <w:rFonts w:ascii="Times New Roman" w:hAnsi="Times New Roman" w:cs="Times New Roman"/>
          <w:b/>
          <w:sz w:val="28"/>
          <w:szCs w:val="28"/>
        </w:rPr>
        <w:t>лидером</w:t>
      </w:r>
      <w:r w:rsidR="0018581A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274DDE" w:rsidRPr="003F0810">
        <w:rPr>
          <w:rFonts w:ascii="Times New Roman" w:hAnsi="Times New Roman" w:cs="Times New Roman"/>
          <w:sz w:val="28"/>
          <w:szCs w:val="28"/>
        </w:rPr>
        <w:t>по</w:t>
      </w:r>
      <w:r w:rsidR="0018581A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3F0810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3F0810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3F0810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3F0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3F0810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3F0810">
        <w:rPr>
          <w:rFonts w:ascii="Times New Roman" w:hAnsi="Times New Roman" w:cs="Times New Roman"/>
          <w:sz w:val="28"/>
          <w:szCs w:val="28"/>
        </w:rPr>
        <w:t>по</w:t>
      </w:r>
      <w:r w:rsidR="003B065F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3F0810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3F0810">
        <w:rPr>
          <w:rFonts w:ascii="Times New Roman" w:hAnsi="Times New Roman" w:cs="Times New Roman"/>
          <w:sz w:val="28"/>
          <w:szCs w:val="28"/>
        </w:rPr>
        <w:t>м</w:t>
      </w:r>
      <w:r w:rsidR="00536D2F" w:rsidRPr="003F0810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3F0810">
        <w:rPr>
          <w:rFonts w:ascii="Times New Roman" w:hAnsi="Times New Roman" w:cs="Times New Roman"/>
          <w:sz w:val="28"/>
          <w:szCs w:val="28"/>
        </w:rPr>
        <w:t>м</w:t>
      </w:r>
      <w:r w:rsidR="00536D2F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3F0810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3F0810">
        <w:rPr>
          <w:rFonts w:ascii="Times New Roman" w:hAnsi="Times New Roman" w:cs="Times New Roman"/>
          <w:sz w:val="28"/>
          <w:szCs w:val="28"/>
        </w:rPr>
        <w:t>ям</w:t>
      </w:r>
      <w:r w:rsidR="00274DDE" w:rsidRPr="003F08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3F0810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4D6097" w:rsidRPr="003F0810">
        <w:rPr>
          <w:rFonts w:ascii="Times New Roman" w:hAnsi="Times New Roman" w:cs="Times New Roman"/>
          <w:sz w:val="28"/>
          <w:szCs w:val="28"/>
        </w:rPr>
        <w:t xml:space="preserve"> за счет превышения прибыли прибыльных организаций над убытками убыточных организаций</w:t>
      </w:r>
      <w:r w:rsidR="003B065F" w:rsidRPr="003F0810">
        <w:rPr>
          <w:rFonts w:ascii="Times New Roman" w:hAnsi="Times New Roman" w:cs="Times New Roman"/>
          <w:sz w:val="28"/>
          <w:szCs w:val="28"/>
        </w:rPr>
        <w:t>.</w:t>
      </w:r>
      <w:r w:rsidR="00274DDE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771D15" w:rsidRPr="003F0810">
        <w:rPr>
          <w:rFonts w:ascii="Times New Roman" w:hAnsi="Times New Roman" w:cs="Times New Roman"/>
          <w:sz w:val="28"/>
          <w:szCs w:val="28"/>
        </w:rPr>
        <w:br/>
      </w:r>
      <w:r w:rsidR="00536D2F" w:rsidRPr="003F081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536D2F" w:rsidRPr="003F08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4DDE" w:rsidRPr="003F0810">
        <w:rPr>
          <w:rFonts w:ascii="Times New Roman" w:hAnsi="Times New Roman" w:cs="Times New Roman"/>
          <w:sz w:val="28"/>
          <w:szCs w:val="28"/>
        </w:rPr>
        <w:t xml:space="preserve"> </w:t>
      </w:r>
      <w:r w:rsidR="00FC2AD3" w:rsidRPr="003F0810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4D6097" w:rsidRPr="003F0810">
        <w:rPr>
          <w:rFonts w:ascii="Times New Roman" w:hAnsi="Times New Roman" w:cs="Times New Roman"/>
          <w:sz w:val="28"/>
          <w:szCs w:val="28"/>
        </w:rPr>
        <w:t xml:space="preserve">по величине сальдированной прибыли </w:t>
      </w:r>
      <w:r w:rsidR="00FC2AD3" w:rsidRPr="003F0810">
        <w:rPr>
          <w:rFonts w:ascii="Times New Roman" w:hAnsi="Times New Roman" w:cs="Times New Roman"/>
          <w:sz w:val="28"/>
          <w:szCs w:val="28"/>
        </w:rPr>
        <w:t xml:space="preserve">опережает </w:t>
      </w:r>
      <w:r w:rsidRPr="003F0810">
        <w:rPr>
          <w:rFonts w:ascii="Times New Roman" w:hAnsi="Times New Roman" w:cs="Times New Roman"/>
          <w:sz w:val="28"/>
          <w:szCs w:val="28"/>
        </w:rPr>
        <w:t>Уф</w:t>
      </w:r>
      <w:r w:rsidR="00FC2AD3" w:rsidRPr="003F0810">
        <w:rPr>
          <w:rFonts w:ascii="Times New Roman" w:hAnsi="Times New Roman" w:cs="Times New Roman"/>
          <w:sz w:val="28"/>
          <w:szCs w:val="28"/>
        </w:rPr>
        <w:t>у, находящуюся на 2 месте, в 1,8 раза.</w:t>
      </w:r>
      <w:r w:rsidR="00FC2AD3" w:rsidRPr="0076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EE" w:rsidRDefault="00FB72EE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763E85" w:rsidRDefault="00FB72EE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496" w:rsidRPr="00763E85" w:rsidRDefault="00D97496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3B065F" w:rsidRPr="00763E85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0FBB6" wp14:editId="74855266">
            <wp:extent cx="6477000" cy="20955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3FB8" w:rsidRPr="006906A3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A3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6906A3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6906A3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6040B0" w:rsidRPr="006906A3">
        <w:rPr>
          <w:rFonts w:ascii="Times New Roman" w:hAnsi="Times New Roman" w:cs="Times New Roman"/>
          <w:sz w:val="28"/>
          <w:szCs w:val="28"/>
        </w:rPr>
        <w:t>4</w:t>
      </w:r>
      <w:r w:rsidRPr="006906A3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C91647" w:rsidRPr="006906A3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2 место</w:t>
      </w:r>
      <w:r w:rsidR="00C91647" w:rsidRPr="006906A3">
        <w:rPr>
          <w:rFonts w:ascii="Times New Roman" w:hAnsi="Times New Roman" w:cs="Times New Roman"/>
          <w:sz w:val="28"/>
          <w:szCs w:val="28"/>
        </w:rPr>
        <w:t>.</w:t>
      </w:r>
    </w:p>
    <w:p w:rsidR="001B3FB8" w:rsidRPr="006906A3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2C36B" wp14:editId="14EFA3D6">
            <wp:extent cx="6477000" cy="21336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3330" w:rsidRPr="00763E85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A3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Pr="006906A3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6906A3">
        <w:rPr>
          <w:rFonts w:ascii="Times New Roman" w:hAnsi="Times New Roman" w:cs="Times New Roman"/>
          <w:b/>
          <w:sz w:val="28"/>
          <w:szCs w:val="28"/>
        </w:rPr>
        <w:t>оду</w:t>
      </w:r>
      <w:r w:rsidRPr="0069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6906A3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6906A3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6906A3">
        <w:rPr>
          <w:rFonts w:ascii="Times New Roman" w:hAnsi="Times New Roman" w:cs="Times New Roman"/>
          <w:b/>
          <w:sz w:val="28"/>
          <w:szCs w:val="28"/>
        </w:rPr>
        <w:t>я</w:t>
      </w:r>
      <w:r w:rsidRPr="006906A3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Pr="006906A3">
        <w:rPr>
          <w:rFonts w:ascii="Times New Roman" w:hAnsi="Times New Roman" w:cs="Times New Roman"/>
          <w:sz w:val="28"/>
          <w:szCs w:val="28"/>
        </w:rPr>
        <w:t xml:space="preserve"> город Красноярск </w:t>
      </w:r>
      <w:r w:rsidR="00AD3A3D" w:rsidRPr="006906A3">
        <w:rPr>
          <w:rFonts w:ascii="Times New Roman" w:hAnsi="Times New Roman" w:cs="Times New Roman"/>
          <w:sz w:val="28"/>
          <w:szCs w:val="28"/>
        </w:rPr>
        <w:t>поднялся с</w:t>
      </w:r>
      <w:r w:rsidR="00583DA7" w:rsidRPr="006906A3">
        <w:rPr>
          <w:rFonts w:ascii="Times New Roman" w:hAnsi="Times New Roman" w:cs="Times New Roman"/>
          <w:sz w:val="28"/>
          <w:szCs w:val="28"/>
        </w:rPr>
        <w:t xml:space="preserve"> </w:t>
      </w:r>
      <w:r w:rsidR="006F4CE7" w:rsidRPr="006906A3">
        <w:rPr>
          <w:rFonts w:ascii="Times New Roman" w:hAnsi="Times New Roman" w:cs="Times New Roman"/>
          <w:sz w:val="28"/>
          <w:szCs w:val="28"/>
        </w:rPr>
        <w:t>11</w:t>
      </w:r>
      <w:r w:rsidR="00583DA7" w:rsidRPr="006906A3">
        <w:rPr>
          <w:rFonts w:ascii="Times New Roman" w:hAnsi="Times New Roman" w:cs="Times New Roman"/>
          <w:sz w:val="28"/>
          <w:szCs w:val="28"/>
        </w:rPr>
        <w:t xml:space="preserve"> мест</w:t>
      </w:r>
      <w:r w:rsidR="00AD3A3D" w:rsidRPr="006906A3">
        <w:rPr>
          <w:rFonts w:ascii="Times New Roman" w:hAnsi="Times New Roman" w:cs="Times New Roman"/>
          <w:sz w:val="28"/>
          <w:szCs w:val="28"/>
        </w:rPr>
        <w:t>а по итогам первого полугодия</w:t>
      </w:r>
      <w:r w:rsidR="00AD3A3D" w:rsidRPr="0069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A3D" w:rsidRPr="006906A3">
        <w:rPr>
          <w:rFonts w:ascii="Times New Roman" w:hAnsi="Times New Roman" w:cs="Times New Roman"/>
          <w:sz w:val="28"/>
          <w:szCs w:val="28"/>
        </w:rPr>
        <w:t>до</w:t>
      </w:r>
      <w:r w:rsidR="00AD3A3D" w:rsidRPr="0069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7C7" w:rsidRPr="006906A3">
        <w:rPr>
          <w:rFonts w:ascii="Times New Roman" w:hAnsi="Times New Roman" w:cs="Times New Roman"/>
          <w:b/>
          <w:sz w:val="28"/>
          <w:szCs w:val="28"/>
        </w:rPr>
        <w:t>7</w:t>
      </w:r>
      <w:r w:rsidR="00AD3A3D" w:rsidRPr="006906A3">
        <w:rPr>
          <w:rFonts w:ascii="Times New Roman" w:hAnsi="Times New Roman" w:cs="Times New Roman"/>
          <w:b/>
          <w:sz w:val="28"/>
          <w:szCs w:val="28"/>
        </w:rPr>
        <w:t xml:space="preserve"> места </w:t>
      </w:r>
      <w:r w:rsidR="00AD3A3D" w:rsidRPr="006906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317C7" w:rsidRPr="006906A3">
        <w:rPr>
          <w:rFonts w:ascii="Times New Roman" w:hAnsi="Times New Roman" w:cs="Times New Roman"/>
          <w:sz w:val="28"/>
          <w:szCs w:val="28"/>
        </w:rPr>
        <w:t xml:space="preserve">2021 </w:t>
      </w:r>
      <w:r w:rsidR="00AD3A3D" w:rsidRPr="006906A3">
        <w:rPr>
          <w:rFonts w:ascii="Times New Roman" w:hAnsi="Times New Roman" w:cs="Times New Roman"/>
          <w:sz w:val="28"/>
          <w:szCs w:val="28"/>
        </w:rPr>
        <w:t>года</w:t>
      </w:r>
      <w:r w:rsidR="00583DA7" w:rsidRPr="006906A3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6906A3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C91647" w:rsidRPr="006906A3">
        <w:rPr>
          <w:rFonts w:ascii="Times New Roman" w:hAnsi="Times New Roman" w:cs="Times New Roman"/>
          <w:sz w:val="28"/>
          <w:szCs w:val="28"/>
        </w:rPr>
        <w:t>.</w:t>
      </w:r>
    </w:p>
    <w:p w:rsidR="00AD3A3D" w:rsidRPr="00763E85" w:rsidRDefault="00AD3A3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00" w:rsidRPr="00763E85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C97B6" wp14:editId="65F50AB0">
            <wp:extent cx="6477000" cy="21717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72EE" w:rsidRDefault="00FB72EE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050" w:rsidRPr="00763E85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A3">
        <w:rPr>
          <w:rFonts w:ascii="Times New Roman" w:hAnsi="Times New Roman" w:cs="Times New Roman"/>
          <w:sz w:val="28"/>
          <w:szCs w:val="28"/>
        </w:rPr>
        <w:t xml:space="preserve">По </w:t>
      </w:r>
      <w:r w:rsidRPr="006906A3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6906A3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на тысячу населения</w:t>
      </w:r>
      <w:r w:rsidRPr="0069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A3">
        <w:rPr>
          <w:rFonts w:ascii="Times New Roman" w:hAnsi="Times New Roman" w:cs="Times New Roman"/>
          <w:sz w:val="28"/>
          <w:szCs w:val="28"/>
        </w:rPr>
        <w:t>по итогам 202</w:t>
      </w:r>
      <w:r w:rsidR="00AD3A3D" w:rsidRPr="006906A3">
        <w:rPr>
          <w:rFonts w:ascii="Times New Roman" w:hAnsi="Times New Roman" w:cs="Times New Roman"/>
          <w:sz w:val="28"/>
          <w:szCs w:val="28"/>
        </w:rPr>
        <w:t>1</w:t>
      </w:r>
      <w:r w:rsidRPr="006906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A3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69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A3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C265C1" w:rsidRPr="006906A3">
        <w:rPr>
          <w:rFonts w:ascii="Times New Roman" w:hAnsi="Times New Roman" w:cs="Times New Roman"/>
          <w:sz w:val="28"/>
          <w:szCs w:val="28"/>
        </w:rPr>
        <w:br/>
        <w:t>9</w:t>
      </w:r>
      <w:r w:rsidR="00703050" w:rsidRPr="006906A3">
        <w:rPr>
          <w:rFonts w:ascii="Times New Roman" w:hAnsi="Times New Roman" w:cs="Times New Roman"/>
          <w:sz w:val="28"/>
          <w:szCs w:val="28"/>
        </w:rPr>
        <w:t xml:space="preserve"> место. </w:t>
      </w:r>
      <w:r w:rsidR="00965EF8" w:rsidRPr="006906A3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6906A3">
        <w:rPr>
          <w:rFonts w:ascii="Times New Roman" w:hAnsi="Times New Roman" w:cs="Times New Roman"/>
          <w:sz w:val="28"/>
          <w:szCs w:val="28"/>
        </w:rPr>
        <w:t>.</w:t>
      </w:r>
    </w:p>
    <w:p w:rsidR="004E1406" w:rsidRPr="00763E85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1FA68" wp14:editId="01206524">
            <wp:extent cx="6477000" cy="23050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3DA7" w:rsidRPr="006906A3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A3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6906A3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69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6A3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6906A3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Pr="006906A3">
        <w:rPr>
          <w:rFonts w:ascii="Times New Roman" w:hAnsi="Times New Roman" w:cs="Times New Roman"/>
          <w:sz w:val="28"/>
          <w:szCs w:val="28"/>
        </w:rPr>
        <w:t>находится на 11 месте</w:t>
      </w:r>
      <w:r w:rsidR="00D13CE3" w:rsidRPr="006906A3">
        <w:rPr>
          <w:rFonts w:ascii="Times New Roman" w:hAnsi="Times New Roman" w:cs="Times New Roman"/>
          <w:sz w:val="28"/>
          <w:szCs w:val="28"/>
        </w:rPr>
        <w:t xml:space="preserve">. </w:t>
      </w:r>
      <w:r w:rsidR="00965EF8" w:rsidRPr="006906A3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6906A3">
        <w:rPr>
          <w:rFonts w:ascii="Times New Roman" w:hAnsi="Times New Roman" w:cs="Times New Roman"/>
          <w:sz w:val="28"/>
          <w:szCs w:val="28"/>
        </w:rPr>
        <w:t>.</w:t>
      </w:r>
    </w:p>
    <w:p w:rsidR="00E971C8" w:rsidRPr="006906A3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C39D1" wp14:editId="1E02DDEC">
            <wp:extent cx="6477000" cy="23812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B50A1" w:rsidRPr="00763E85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DC">
        <w:rPr>
          <w:rFonts w:ascii="Times New Roman" w:hAnsi="Times New Roman" w:cs="Times New Roman"/>
          <w:b/>
          <w:sz w:val="28"/>
          <w:szCs w:val="28"/>
        </w:rPr>
        <w:t xml:space="preserve">По обороту </w:t>
      </w:r>
      <w:r w:rsidR="005B50A1" w:rsidRPr="00BC44DC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BC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4DC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BC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4DC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BC44DC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BC44DC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BC44DC">
        <w:rPr>
          <w:rFonts w:ascii="Times New Roman" w:hAnsi="Times New Roman" w:cs="Times New Roman"/>
          <w:sz w:val="28"/>
          <w:szCs w:val="28"/>
        </w:rPr>
        <w:t>занимает</w:t>
      </w:r>
      <w:r w:rsidRPr="00BC44DC">
        <w:rPr>
          <w:rFonts w:ascii="Times New Roman" w:hAnsi="Times New Roman" w:cs="Times New Roman"/>
          <w:sz w:val="28"/>
          <w:szCs w:val="28"/>
        </w:rPr>
        <w:t xml:space="preserve"> </w:t>
      </w:r>
      <w:r w:rsidR="00FE181E" w:rsidRPr="00BC44DC">
        <w:rPr>
          <w:rFonts w:ascii="Times New Roman" w:hAnsi="Times New Roman" w:cs="Times New Roman"/>
          <w:b/>
          <w:sz w:val="28"/>
          <w:szCs w:val="28"/>
        </w:rPr>
        <w:t>8</w:t>
      </w:r>
      <w:r w:rsidR="00E85F31" w:rsidRPr="00BC44DC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BC44DC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BC44DC">
        <w:rPr>
          <w:rFonts w:ascii="Times New Roman" w:hAnsi="Times New Roman" w:cs="Times New Roman"/>
          <w:sz w:val="28"/>
          <w:szCs w:val="28"/>
        </w:rPr>
        <w:t>.</w:t>
      </w:r>
      <w:r w:rsidR="005B50A1" w:rsidRPr="00BC44DC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BC44DC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965EF8" w:rsidRPr="00BC44DC">
        <w:rPr>
          <w:rFonts w:ascii="Times New Roman" w:hAnsi="Times New Roman" w:cs="Times New Roman"/>
          <w:sz w:val="28"/>
          <w:szCs w:val="28"/>
        </w:rPr>
        <w:t>.</w:t>
      </w:r>
    </w:p>
    <w:p w:rsidR="00124F9B" w:rsidRPr="00763E85" w:rsidRDefault="00DB15B0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  <w:r w:rsidRPr="00763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DD182C" wp14:editId="40F53A9C">
            <wp:extent cx="6477000" cy="1981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24F9B" w:rsidRPr="00763E85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BC44DC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</w:p>
    <w:sectPr w:rsidR="00124F9B" w:rsidRPr="00763E85" w:rsidSect="00C70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8B" w:rsidRDefault="00247F8B" w:rsidP="00BC44DC">
      <w:pPr>
        <w:spacing w:after="0" w:line="240" w:lineRule="auto"/>
      </w:pPr>
      <w:r>
        <w:separator/>
      </w:r>
    </w:p>
  </w:endnote>
  <w:endnote w:type="continuationSeparator" w:id="0">
    <w:p w:rsidR="00247F8B" w:rsidRDefault="00247F8B" w:rsidP="00BC44DC">
      <w:pPr>
        <w:spacing w:after="0" w:line="240" w:lineRule="auto"/>
      </w:pPr>
      <w:r>
        <w:continuationSeparator/>
      </w:r>
    </w:p>
  </w:endnote>
  <w:endnote w:id="1">
    <w:p w:rsidR="00BC44DC" w:rsidRPr="00BC44DC" w:rsidRDefault="00BC44DC">
      <w:pPr>
        <w:pStyle w:val="a6"/>
        <w:rPr>
          <w:rFonts w:ascii="Times New Roman" w:hAnsi="Times New Roman" w:cs="Times New Roman"/>
          <w:sz w:val="22"/>
        </w:rPr>
      </w:pPr>
      <w:r w:rsidRPr="00BC44DC">
        <w:rPr>
          <w:rStyle w:val="a8"/>
          <w:rFonts w:ascii="Times New Roman" w:hAnsi="Times New Roman" w:cs="Times New Roman"/>
          <w:sz w:val="22"/>
        </w:rPr>
        <w:endnoteRef/>
      </w:r>
      <w:r w:rsidRPr="00BC44DC">
        <w:rPr>
          <w:rFonts w:ascii="Times New Roman" w:hAnsi="Times New Roman" w:cs="Times New Roman"/>
          <w:sz w:val="22"/>
        </w:rPr>
        <w:t xml:space="preserve"> Информация подготовлена </w:t>
      </w:r>
      <w:r>
        <w:rPr>
          <w:rFonts w:ascii="Times New Roman" w:hAnsi="Times New Roman" w:cs="Times New Roman"/>
          <w:sz w:val="22"/>
        </w:rPr>
        <w:t xml:space="preserve">на основе данных предоставленных </w:t>
      </w:r>
      <w:r w:rsidRPr="00BC44DC">
        <w:rPr>
          <w:rFonts w:ascii="Times New Roman" w:hAnsi="Times New Roman" w:cs="Times New Roman"/>
          <w:sz w:val="22"/>
        </w:rPr>
        <w:t>Управление</w:t>
      </w:r>
      <w:r w:rsidRPr="00BC44DC">
        <w:rPr>
          <w:rFonts w:ascii="Times New Roman" w:hAnsi="Times New Roman" w:cs="Times New Roman"/>
          <w:sz w:val="22"/>
        </w:rPr>
        <w:t>м</w:t>
      </w:r>
      <w:r w:rsidRPr="00BC44DC">
        <w:rPr>
          <w:rFonts w:ascii="Times New Roman" w:hAnsi="Times New Roman" w:cs="Times New Roman"/>
          <w:sz w:val="22"/>
        </w:rPr>
        <w:t xml:space="preserve">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8B" w:rsidRDefault="00247F8B" w:rsidP="00BC44DC">
      <w:pPr>
        <w:spacing w:after="0" w:line="240" w:lineRule="auto"/>
      </w:pPr>
      <w:r>
        <w:separator/>
      </w:r>
    </w:p>
  </w:footnote>
  <w:footnote w:type="continuationSeparator" w:id="0">
    <w:p w:rsidR="00247F8B" w:rsidRDefault="00247F8B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31998"/>
    <w:rsid w:val="00041DF9"/>
    <w:rsid w:val="000615F3"/>
    <w:rsid w:val="00062546"/>
    <w:rsid w:val="0007785D"/>
    <w:rsid w:val="000A7F4F"/>
    <w:rsid w:val="000C651B"/>
    <w:rsid w:val="000D6F05"/>
    <w:rsid w:val="000E7E5E"/>
    <w:rsid w:val="000F240D"/>
    <w:rsid w:val="00110D47"/>
    <w:rsid w:val="00111899"/>
    <w:rsid w:val="00124F9B"/>
    <w:rsid w:val="00135527"/>
    <w:rsid w:val="001414F0"/>
    <w:rsid w:val="00141545"/>
    <w:rsid w:val="0018581A"/>
    <w:rsid w:val="001B2A3F"/>
    <w:rsid w:val="001B3FB8"/>
    <w:rsid w:val="001D23BB"/>
    <w:rsid w:val="001D41A9"/>
    <w:rsid w:val="001F1DCE"/>
    <w:rsid w:val="002112BF"/>
    <w:rsid w:val="002353D5"/>
    <w:rsid w:val="00236E22"/>
    <w:rsid w:val="0024331B"/>
    <w:rsid w:val="00247F8B"/>
    <w:rsid w:val="00257B9A"/>
    <w:rsid w:val="00274DDE"/>
    <w:rsid w:val="002A3300"/>
    <w:rsid w:val="002F0445"/>
    <w:rsid w:val="002F0729"/>
    <w:rsid w:val="00306A0C"/>
    <w:rsid w:val="00320888"/>
    <w:rsid w:val="003317C7"/>
    <w:rsid w:val="00350A4D"/>
    <w:rsid w:val="003515AB"/>
    <w:rsid w:val="00356C91"/>
    <w:rsid w:val="00363B32"/>
    <w:rsid w:val="00391156"/>
    <w:rsid w:val="003968E7"/>
    <w:rsid w:val="00397025"/>
    <w:rsid w:val="003A58FB"/>
    <w:rsid w:val="003B065F"/>
    <w:rsid w:val="003C3A41"/>
    <w:rsid w:val="003F0810"/>
    <w:rsid w:val="00400734"/>
    <w:rsid w:val="00427177"/>
    <w:rsid w:val="00440BC5"/>
    <w:rsid w:val="00441DED"/>
    <w:rsid w:val="00447E6A"/>
    <w:rsid w:val="004616AF"/>
    <w:rsid w:val="004B3B98"/>
    <w:rsid w:val="004D2CE3"/>
    <w:rsid w:val="004D5C48"/>
    <w:rsid w:val="004D6097"/>
    <w:rsid w:val="004E1406"/>
    <w:rsid w:val="004E3B9E"/>
    <w:rsid w:val="005060C9"/>
    <w:rsid w:val="00522925"/>
    <w:rsid w:val="00536D2F"/>
    <w:rsid w:val="005516B7"/>
    <w:rsid w:val="00553330"/>
    <w:rsid w:val="0056371F"/>
    <w:rsid w:val="00583DA7"/>
    <w:rsid w:val="005930DB"/>
    <w:rsid w:val="005B4D54"/>
    <w:rsid w:val="005B50A1"/>
    <w:rsid w:val="005D3AFC"/>
    <w:rsid w:val="006040B0"/>
    <w:rsid w:val="0060562B"/>
    <w:rsid w:val="00631D8C"/>
    <w:rsid w:val="00644E51"/>
    <w:rsid w:val="0065548C"/>
    <w:rsid w:val="00662598"/>
    <w:rsid w:val="00667531"/>
    <w:rsid w:val="006906A3"/>
    <w:rsid w:val="00690B1A"/>
    <w:rsid w:val="006A41E7"/>
    <w:rsid w:val="006A6CCA"/>
    <w:rsid w:val="006B07E4"/>
    <w:rsid w:val="006B470F"/>
    <w:rsid w:val="006B5CA4"/>
    <w:rsid w:val="006C053A"/>
    <w:rsid w:val="006F4CE7"/>
    <w:rsid w:val="00703050"/>
    <w:rsid w:val="00710EDC"/>
    <w:rsid w:val="007145C7"/>
    <w:rsid w:val="007211BE"/>
    <w:rsid w:val="00735299"/>
    <w:rsid w:val="00746C5A"/>
    <w:rsid w:val="00763E85"/>
    <w:rsid w:val="00763F4A"/>
    <w:rsid w:val="00771D15"/>
    <w:rsid w:val="00775070"/>
    <w:rsid w:val="00781659"/>
    <w:rsid w:val="0079214F"/>
    <w:rsid w:val="007A1E48"/>
    <w:rsid w:val="007A59DE"/>
    <w:rsid w:val="007C6E8B"/>
    <w:rsid w:val="007E1D38"/>
    <w:rsid w:val="007E6B70"/>
    <w:rsid w:val="008117CE"/>
    <w:rsid w:val="00821A0E"/>
    <w:rsid w:val="00841FE4"/>
    <w:rsid w:val="0087327A"/>
    <w:rsid w:val="00882835"/>
    <w:rsid w:val="00884BEA"/>
    <w:rsid w:val="00890B61"/>
    <w:rsid w:val="008A1AFC"/>
    <w:rsid w:val="008A6B85"/>
    <w:rsid w:val="008B5377"/>
    <w:rsid w:val="008F5FD8"/>
    <w:rsid w:val="00924DD3"/>
    <w:rsid w:val="00930075"/>
    <w:rsid w:val="00931422"/>
    <w:rsid w:val="00942078"/>
    <w:rsid w:val="0094323B"/>
    <w:rsid w:val="00957F9E"/>
    <w:rsid w:val="00961A33"/>
    <w:rsid w:val="00965EF8"/>
    <w:rsid w:val="009A6BBF"/>
    <w:rsid w:val="009B669B"/>
    <w:rsid w:val="009C1CE8"/>
    <w:rsid w:val="00A15E25"/>
    <w:rsid w:val="00A72ACF"/>
    <w:rsid w:val="00A76E64"/>
    <w:rsid w:val="00AB5AEC"/>
    <w:rsid w:val="00AB5F28"/>
    <w:rsid w:val="00AC441A"/>
    <w:rsid w:val="00AD3A3D"/>
    <w:rsid w:val="00AD7D1D"/>
    <w:rsid w:val="00B21468"/>
    <w:rsid w:val="00B2546F"/>
    <w:rsid w:val="00B40C10"/>
    <w:rsid w:val="00B54290"/>
    <w:rsid w:val="00B73A63"/>
    <w:rsid w:val="00B873CC"/>
    <w:rsid w:val="00B962E8"/>
    <w:rsid w:val="00BA383E"/>
    <w:rsid w:val="00BA79E8"/>
    <w:rsid w:val="00BC44DC"/>
    <w:rsid w:val="00BD1BEC"/>
    <w:rsid w:val="00BD38E4"/>
    <w:rsid w:val="00BD6E1D"/>
    <w:rsid w:val="00BE1349"/>
    <w:rsid w:val="00BE7018"/>
    <w:rsid w:val="00BF215E"/>
    <w:rsid w:val="00C03092"/>
    <w:rsid w:val="00C03BC9"/>
    <w:rsid w:val="00C111DB"/>
    <w:rsid w:val="00C225CC"/>
    <w:rsid w:val="00C2392A"/>
    <w:rsid w:val="00C265C1"/>
    <w:rsid w:val="00C367EF"/>
    <w:rsid w:val="00C408CA"/>
    <w:rsid w:val="00C430FF"/>
    <w:rsid w:val="00C62CFA"/>
    <w:rsid w:val="00C70319"/>
    <w:rsid w:val="00C71A8B"/>
    <w:rsid w:val="00C82895"/>
    <w:rsid w:val="00C91647"/>
    <w:rsid w:val="00C92DEA"/>
    <w:rsid w:val="00C95635"/>
    <w:rsid w:val="00CA0C7D"/>
    <w:rsid w:val="00D11737"/>
    <w:rsid w:val="00D13CE3"/>
    <w:rsid w:val="00D169DD"/>
    <w:rsid w:val="00D207CE"/>
    <w:rsid w:val="00D230CF"/>
    <w:rsid w:val="00D4468C"/>
    <w:rsid w:val="00D53242"/>
    <w:rsid w:val="00D97496"/>
    <w:rsid w:val="00D97632"/>
    <w:rsid w:val="00DB15B0"/>
    <w:rsid w:val="00DB29D7"/>
    <w:rsid w:val="00DB475A"/>
    <w:rsid w:val="00DB4909"/>
    <w:rsid w:val="00DE426E"/>
    <w:rsid w:val="00E16C8D"/>
    <w:rsid w:val="00E31210"/>
    <w:rsid w:val="00E45FA9"/>
    <w:rsid w:val="00E468B5"/>
    <w:rsid w:val="00E740C5"/>
    <w:rsid w:val="00E85F31"/>
    <w:rsid w:val="00E971C8"/>
    <w:rsid w:val="00E97351"/>
    <w:rsid w:val="00E974BC"/>
    <w:rsid w:val="00EA5ECD"/>
    <w:rsid w:val="00EF293F"/>
    <w:rsid w:val="00EF2CF4"/>
    <w:rsid w:val="00F0672E"/>
    <w:rsid w:val="00F1516B"/>
    <w:rsid w:val="00F2547E"/>
    <w:rsid w:val="00F269B8"/>
    <w:rsid w:val="00F523BA"/>
    <w:rsid w:val="00F53A17"/>
    <w:rsid w:val="00F77C4D"/>
    <w:rsid w:val="00FB72EE"/>
    <w:rsid w:val="00FC26F0"/>
    <w:rsid w:val="00FC2AD3"/>
    <w:rsid w:val="00FC605F"/>
    <w:rsid w:val="00FE1112"/>
    <w:rsid w:val="00FE18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ustomXml" Target="../customXml/item3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Новосибирск</c:v>
                </c:pt>
                <c:pt idx="1">
                  <c:v>Екатеринбург </c:v>
                </c:pt>
                <c:pt idx="2">
                  <c:v>Н. Новгород</c:v>
                </c:pt>
                <c:pt idx="3">
                  <c:v>Казань </c:v>
                </c:pt>
                <c:pt idx="4">
                  <c:v>Челябинск</c:v>
                </c:pt>
                <c:pt idx="5">
                  <c:v>Самара</c:v>
                </c:pt>
                <c:pt idx="6">
                  <c:v>Омск</c:v>
                </c:pt>
                <c:pt idx="7">
                  <c:v>Ростов-на-Дону</c:v>
                </c:pt>
                <c:pt idx="8">
                  <c:v>Уфа</c:v>
                </c:pt>
                <c:pt idx="9">
                  <c:v>Красноярск</c:v>
                </c:pt>
                <c:pt idx="10">
                  <c:v>Пермь</c:v>
                </c:pt>
                <c:pt idx="11">
                  <c:v>Воронеж 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1620.2</c:v>
                </c:pt>
                <c:pt idx="1">
                  <c:v>1527.5</c:v>
                </c:pt>
                <c:pt idx="2">
                  <c:v>1263.7</c:v>
                </c:pt>
                <c:pt idx="3">
                  <c:v>1257.3</c:v>
                </c:pt>
                <c:pt idx="4">
                  <c:v>1188</c:v>
                </c:pt>
                <c:pt idx="5">
                  <c:v>1144.8</c:v>
                </c:pt>
                <c:pt idx="6">
                  <c:v>1140</c:v>
                </c:pt>
                <c:pt idx="7">
                  <c:v>1137.7</c:v>
                </c:pt>
                <c:pt idx="8">
                  <c:v>1137.4000000000001</c:v>
                </c:pt>
                <c:pt idx="9">
                  <c:v>1093.5999999999999</c:v>
                </c:pt>
                <c:pt idx="10">
                  <c:v>1049.2</c:v>
                </c:pt>
                <c:pt idx="11">
                  <c:v>1050.5999999999999</c:v>
                </c:pt>
                <c:pt idx="12">
                  <c:v>1004.7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464468992"/>
        <c:axId val="527688832"/>
      </c:barChart>
      <c:catAx>
        <c:axId val="464468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7688832"/>
        <c:crosses val="autoZero"/>
        <c:auto val="1"/>
        <c:lblAlgn val="ctr"/>
        <c:lblOffset val="100"/>
        <c:noMultiLvlLbl val="0"/>
      </c:catAx>
      <c:valAx>
        <c:axId val="527688832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4468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1230581823205114"/>
          <c:w val="0.95002573232975962"/>
          <c:h val="0.51556744402165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9228037671760179E-3"/>
                  <c:y val="1.791865432879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1.202827748721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Волгоград</c:v>
                </c:pt>
                <c:pt idx="1">
                  <c:v>Екатеринбург </c:v>
                </c:pt>
                <c:pt idx="2">
                  <c:v>Пермь</c:v>
                </c:pt>
                <c:pt idx="3">
                  <c:v>Омск</c:v>
                </c:pt>
                <c:pt idx="4">
                  <c:v>Красноярск</c:v>
                </c:pt>
                <c:pt idx="5">
                  <c:v>Н. Новгород</c:v>
                </c:pt>
                <c:pt idx="6">
                  <c:v>Ростов-на-Дону</c:v>
                </c:pt>
                <c:pt idx="7">
                  <c:v>Самара</c:v>
                </c:pt>
                <c:pt idx="8">
                  <c:v>Казань </c:v>
                </c:pt>
                <c:pt idx="9">
                  <c:v>Челябинск</c:v>
                </c:pt>
                <c:pt idx="10">
                  <c:v>Уфа</c:v>
                </c:pt>
                <c:pt idx="11">
                  <c:v>Воронеж </c:v>
                </c:pt>
                <c:pt idx="12">
                  <c:v>Новосибирск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1.7</c:v>
                </c:pt>
                <c:pt idx="1">
                  <c:v>2.4500000000000002</c:v>
                </c:pt>
                <c:pt idx="2">
                  <c:v>2.7</c:v>
                </c:pt>
                <c:pt idx="3">
                  <c:v>2.7</c:v>
                </c:pt>
                <c:pt idx="4">
                  <c:v>2.77</c:v>
                </c:pt>
                <c:pt idx="5">
                  <c:v>2.8</c:v>
                </c:pt>
                <c:pt idx="6">
                  <c:v>3.44</c:v>
                </c:pt>
                <c:pt idx="7">
                  <c:v>3.46</c:v>
                </c:pt>
                <c:pt idx="8">
                  <c:v>3.71</c:v>
                </c:pt>
                <c:pt idx="9">
                  <c:v>3.84</c:v>
                </c:pt>
                <c:pt idx="10">
                  <c:v>5.03</c:v>
                </c:pt>
                <c:pt idx="11">
                  <c:v>5.38</c:v>
                </c:pt>
                <c:pt idx="12">
                  <c:v>6.62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4723456"/>
        <c:axId val="527636096"/>
      </c:barChart>
      <c:catAx>
        <c:axId val="464723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7636096"/>
        <c:crosses val="autoZero"/>
        <c:auto val="1"/>
        <c:lblAlgn val="ctr"/>
        <c:lblOffset val="100"/>
        <c:noMultiLvlLbl val="0"/>
      </c:catAx>
      <c:valAx>
        <c:axId val="527636096"/>
        <c:scaling>
          <c:orientation val="minMax"/>
          <c:max val="7"/>
          <c:min val="1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4723456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Екатеринбург </c:v>
                </c:pt>
                <c:pt idx="2">
                  <c:v>Новосибирск</c:v>
                </c:pt>
                <c:pt idx="3">
                  <c:v>Н. Новгород</c:v>
                </c:pt>
                <c:pt idx="4">
                  <c:v>Уфа</c:v>
                </c:pt>
                <c:pt idx="5">
                  <c:v>Казань </c:v>
                </c:pt>
                <c:pt idx="6">
                  <c:v>Пермь</c:v>
                </c:pt>
                <c:pt idx="7">
                  <c:v>Ростов-на-Дону</c:v>
                </c:pt>
                <c:pt idx="8">
                  <c:v>Самара</c:v>
                </c:pt>
                <c:pt idx="9">
                  <c:v>Челябинск</c:v>
                </c:pt>
                <c:pt idx="10">
                  <c:v>Воронеж </c:v>
                </c:pt>
                <c:pt idx="11">
                  <c:v>Омск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64.86</c:v>
                </c:pt>
                <c:pt idx="1">
                  <c:v>63.89</c:v>
                </c:pt>
                <c:pt idx="2">
                  <c:v>58.9</c:v>
                </c:pt>
                <c:pt idx="3">
                  <c:v>57.88</c:v>
                </c:pt>
                <c:pt idx="4">
                  <c:v>57.82</c:v>
                </c:pt>
                <c:pt idx="5">
                  <c:v>57.58</c:v>
                </c:pt>
                <c:pt idx="6">
                  <c:v>55.95</c:v>
                </c:pt>
                <c:pt idx="7">
                  <c:v>55.64</c:v>
                </c:pt>
                <c:pt idx="8">
                  <c:v>53.58</c:v>
                </c:pt>
                <c:pt idx="9">
                  <c:v>50.18</c:v>
                </c:pt>
                <c:pt idx="10">
                  <c:v>49.8</c:v>
                </c:pt>
                <c:pt idx="11">
                  <c:v>49.19</c:v>
                </c:pt>
                <c:pt idx="12">
                  <c:v>44.88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525307392"/>
        <c:axId val="527637824"/>
      </c:barChart>
      <c:catAx>
        <c:axId val="525307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7637824"/>
        <c:crosses val="autoZero"/>
        <c:auto val="1"/>
        <c:lblAlgn val="ctr"/>
        <c:lblOffset val="100"/>
        <c:noMultiLvlLbl val="0"/>
      </c:catAx>
      <c:valAx>
        <c:axId val="527637824"/>
        <c:scaling>
          <c:orientation val="minMax"/>
          <c:max val="7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5307392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16630589358148412"/>
          <c:w val="0.93432721200366664"/>
          <c:h val="0.448948699594368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Уфа</c:v>
                </c:pt>
                <c:pt idx="2">
                  <c:v>Екатеринбург </c:v>
                </c:pt>
                <c:pt idx="3">
                  <c:v>Самара</c:v>
                </c:pt>
                <c:pt idx="4">
                  <c:v>Пермь</c:v>
                </c:pt>
                <c:pt idx="5">
                  <c:v>Н. Новгород</c:v>
                </c:pt>
                <c:pt idx="6">
                  <c:v>Казань </c:v>
                </c:pt>
                <c:pt idx="7">
                  <c:v>Ростов-на-Дону</c:v>
                </c:pt>
                <c:pt idx="8">
                  <c:v>Челябинск</c:v>
                </c:pt>
                <c:pt idx="9">
                  <c:v>Новосибирск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400.8</c:v>
                </c:pt>
                <c:pt idx="1">
                  <c:v>223.9</c:v>
                </c:pt>
                <c:pt idx="2">
                  <c:v>180.6</c:v>
                </c:pt>
                <c:pt idx="3">
                  <c:v>178.8</c:v>
                </c:pt>
                <c:pt idx="4">
                  <c:v>161.4</c:v>
                </c:pt>
                <c:pt idx="5">
                  <c:v>154.4</c:v>
                </c:pt>
                <c:pt idx="6" formatCode="#,##0.0">
                  <c:v>132.6</c:v>
                </c:pt>
                <c:pt idx="7">
                  <c:v>86.1</c:v>
                </c:pt>
                <c:pt idx="8">
                  <c:v>79</c:v>
                </c:pt>
                <c:pt idx="9">
                  <c:v>71.2</c:v>
                </c:pt>
                <c:pt idx="10">
                  <c:v>52.3</c:v>
                </c:pt>
                <c:pt idx="11">
                  <c:v>42.9</c:v>
                </c:pt>
                <c:pt idx="12">
                  <c:v>35.9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4720896"/>
        <c:axId val="527690560"/>
      </c:barChart>
      <c:catAx>
        <c:axId val="464720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7690560"/>
        <c:crosses val="autoZero"/>
        <c:auto val="1"/>
        <c:lblAlgn val="ctr"/>
        <c:lblOffset val="100"/>
        <c:noMultiLvlLbl val="0"/>
      </c:catAx>
      <c:valAx>
        <c:axId val="527690560"/>
        <c:scaling>
          <c:orientation val="minMax"/>
          <c:max val="4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4720896"/>
        <c:crosses val="autoZero"/>
        <c:crossBetween val="between"/>
        <c:majorUnit val="1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Омск</c:v>
                </c:pt>
                <c:pt idx="1">
                  <c:v>Уфа</c:v>
                </c:pt>
                <c:pt idx="2">
                  <c:v>Челябинск</c:v>
                </c:pt>
                <c:pt idx="3">
                  <c:v>Красноярск</c:v>
                </c:pt>
                <c:pt idx="4">
                  <c:v>Н. Новгород</c:v>
                </c:pt>
                <c:pt idx="5">
                  <c:v>Пермь</c:v>
                </c:pt>
                <c:pt idx="6">
                  <c:v>Екатеринбург </c:v>
                </c:pt>
                <c:pt idx="7">
                  <c:v>Казань </c:v>
                </c:pt>
                <c:pt idx="8">
                  <c:v>Самара</c:v>
                </c:pt>
                <c:pt idx="9">
                  <c:v>Ростов-на-Дону</c:v>
                </c:pt>
                <c:pt idx="10">
                  <c:v>Волгоград</c:v>
                </c:pt>
                <c:pt idx="11">
                  <c:v>Воронеж </c:v>
                </c:pt>
                <c:pt idx="12">
                  <c:v>Новосибирск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711.32</c:v>
                </c:pt>
                <c:pt idx="1">
                  <c:v>680.47</c:v>
                </c:pt>
                <c:pt idx="2">
                  <c:v>513.03</c:v>
                </c:pt>
                <c:pt idx="3">
                  <c:v>458.15</c:v>
                </c:pt>
                <c:pt idx="4">
                  <c:v>428.41</c:v>
                </c:pt>
                <c:pt idx="5">
                  <c:v>384.76</c:v>
                </c:pt>
                <c:pt idx="6">
                  <c:v>333.21</c:v>
                </c:pt>
                <c:pt idx="7">
                  <c:v>295.88</c:v>
                </c:pt>
                <c:pt idx="8">
                  <c:v>271.68</c:v>
                </c:pt>
                <c:pt idx="9">
                  <c:v>266.38</c:v>
                </c:pt>
                <c:pt idx="10">
                  <c:v>259.52</c:v>
                </c:pt>
                <c:pt idx="11">
                  <c:v>201.59</c:v>
                </c:pt>
                <c:pt idx="12">
                  <c:v>182.39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64721408"/>
        <c:axId val="527692288"/>
      </c:barChart>
      <c:catAx>
        <c:axId val="464721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7692288"/>
        <c:crosses val="autoZero"/>
        <c:auto val="1"/>
        <c:lblAlgn val="ctr"/>
        <c:lblOffset val="100"/>
        <c:noMultiLvlLbl val="0"/>
      </c:catAx>
      <c:valAx>
        <c:axId val="527692288"/>
        <c:scaling>
          <c:orientation val="minMax"/>
          <c:max val="7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4721408"/>
        <c:crosses val="autoZero"/>
        <c:crossBetween val="between"/>
        <c:majorUnit val="1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Ростов-на-Дону</c:v>
                </c:pt>
                <c:pt idx="1">
                  <c:v>Уфа</c:v>
                </c:pt>
                <c:pt idx="2">
                  <c:v>Екатеринбург </c:v>
                </c:pt>
                <c:pt idx="3">
                  <c:v>Казань </c:v>
                </c:pt>
                <c:pt idx="4">
                  <c:v>Воронеж </c:v>
                </c:pt>
                <c:pt idx="5">
                  <c:v>Новосибирск</c:v>
                </c:pt>
                <c:pt idx="6">
                  <c:v>Красноярск</c:v>
                </c:pt>
                <c:pt idx="7">
                  <c:v>Самара</c:v>
                </c:pt>
                <c:pt idx="8">
                  <c:v>Челябинск</c:v>
                </c:pt>
                <c:pt idx="9">
                  <c:v>Пермь</c:v>
                </c:pt>
                <c:pt idx="10">
                  <c:v>Волгоград</c:v>
                </c:pt>
                <c:pt idx="11">
                  <c:v>Н. Новгород</c:v>
                </c:pt>
                <c:pt idx="12">
                  <c:v>Омск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1263.73</c:v>
                </c:pt>
                <c:pt idx="1">
                  <c:v>1027</c:v>
                </c:pt>
                <c:pt idx="2">
                  <c:v>997</c:v>
                </c:pt>
                <c:pt idx="3">
                  <c:v>997</c:v>
                </c:pt>
                <c:pt idx="4">
                  <c:v>909</c:v>
                </c:pt>
                <c:pt idx="5" formatCode="#,##0.0">
                  <c:v>777.3</c:v>
                </c:pt>
                <c:pt idx="6">
                  <c:v>678</c:v>
                </c:pt>
                <c:pt idx="7">
                  <c:v>658</c:v>
                </c:pt>
                <c:pt idx="8">
                  <c:v>496</c:v>
                </c:pt>
                <c:pt idx="9">
                  <c:v>492</c:v>
                </c:pt>
                <c:pt idx="10">
                  <c:v>448</c:v>
                </c:pt>
                <c:pt idx="11">
                  <c:v>385</c:v>
                </c:pt>
                <c:pt idx="12">
                  <c:v>374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531742720"/>
        <c:axId val="527694592"/>
      </c:barChart>
      <c:catAx>
        <c:axId val="531742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7694592"/>
        <c:crosses val="autoZero"/>
        <c:auto val="1"/>
        <c:lblAlgn val="ctr"/>
        <c:lblOffset val="100"/>
        <c:noMultiLvlLbl val="0"/>
      </c:catAx>
      <c:valAx>
        <c:axId val="527694592"/>
        <c:scaling>
          <c:orientation val="minMax"/>
          <c:max val="130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1742720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9933190169410642"/>
          <c:w val="0.93432721200366664"/>
          <c:h val="0.42354352400164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Ростов-на-Дону</c:v>
                </c:pt>
                <c:pt idx="1">
                  <c:v>Казань </c:v>
                </c:pt>
                <c:pt idx="2">
                  <c:v>Уфа</c:v>
                </c:pt>
                <c:pt idx="3">
                  <c:v>Пермь</c:v>
                </c:pt>
                <c:pt idx="4">
                  <c:v>Омск</c:v>
                </c:pt>
                <c:pt idx="5">
                  <c:v>Екатеринбург </c:v>
                </c:pt>
                <c:pt idx="6">
                  <c:v>Воронеж </c:v>
                </c:pt>
                <c:pt idx="7">
                  <c:v>Н. Новгород</c:v>
                </c:pt>
                <c:pt idx="8">
                  <c:v>Красноярск</c:v>
                </c:pt>
                <c:pt idx="9">
                  <c:v>Самара</c:v>
                </c:pt>
                <c:pt idx="10">
                  <c:v>Волгоград</c:v>
                </c:pt>
                <c:pt idx="11">
                  <c:v>Новосибирск</c:v>
                </c:pt>
                <c:pt idx="12">
                  <c:v>Челябинск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124.6</c:v>
                </c:pt>
                <c:pt idx="1">
                  <c:v>119</c:v>
                </c:pt>
                <c:pt idx="2">
                  <c:v>116.2</c:v>
                </c:pt>
                <c:pt idx="3">
                  <c:v>115.1</c:v>
                </c:pt>
                <c:pt idx="4">
                  <c:v>113</c:v>
                </c:pt>
                <c:pt idx="5" formatCode="#,##0.0">
                  <c:v>111.6</c:v>
                </c:pt>
                <c:pt idx="6">
                  <c:v>98.7</c:v>
                </c:pt>
                <c:pt idx="7">
                  <c:v>95.4</c:v>
                </c:pt>
                <c:pt idx="8">
                  <c:v>86.2</c:v>
                </c:pt>
                <c:pt idx="9">
                  <c:v>70.599999999999994</c:v>
                </c:pt>
                <c:pt idx="10">
                  <c:v>68.099999999999994</c:v>
                </c:pt>
                <c:pt idx="11">
                  <c:v>66.400000000000006</c:v>
                </c:pt>
                <c:pt idx="12">
                  <c:v>56.7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5528832"/>
        <c:axId val="531055168"/>
      </c:barChart>
      <c:catAx>
        <c:axId val="46552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1055168"/>
        <c:crosses val="autoZero"/>
        <c:auto val="1"/>
        <c:lblAlgn val="ctr"/>
        <c:lblOffset val="100"/>
        <c:noMultiLvlLbl val="0"/>
      </c:catAx>
      <c:valAx>
        <c:axId val="531055168"/>
        <c:scaling>
          <c:orientation val="minMax"/>
          <c:max val="12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5528832"/>
        <c:crosses val="autoZero"/>
        <c:crossBetween val="between"/>
        <c:majorUnit val="2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Екатеринбург </c:v>
                </c:pt>
                <c:pt idx="1">
                  <c:v>Казань </c:v>
                </c:pt>
                <c:pt idx="2">
                  <c:v>Н. Новгород</c:v>
                </c:pt>
                <c:pt idx="3">
                  <c:v>Новосибирск</c:v>
                </c:pt>
                <c:pt idx="4">
                  <c:v>Самара</c:v>
                </c:pt>
                <c:pt idx="5">
                  <c:v>Уфа</c:v>
                </c:pt>
                <c:pt idx="6">
                  <c:v>Ростов-на-Дону</c:v>
                </c:pt>
                <c:pt idx="7">
                  <c:v>Челябинск</c:v>
                </c:pt>
                <c:pt idx="8">
                  <c:v>Волгоград</c:v>
                </c:pt>
                <c:pt idx="9">
                  <c:v>Воронеж </c:v>
                </c:pt>
                <c:pt idx="10">
                  <c:v>Красноярск</c:v>
                </c:pt>
                <c:pt idx="11">
                  <c:v>Пермь</c:v>
                </c:pt>
                <c:pt idx="12">
                  <c:v>Омск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254.33</c:v>
                </c:pt>
                <c:pt idx="1">
                  <c:v>225.01</c:v>
                </c:pt>
                <c:pt idx="2">
                  <c:v>215.56</c:v>
                </c:pt>
                <c:pt idx="3">
                  <c:v>192.93</c:v>
                </c:pt>
                <c:pt idx="4">
                  <c:v>189.83</c:v>
                </c:pt>
                <c:pt idx="5">
                  <c:v>187.07</c:v>
                </c:pt>
                <c:pt idx="6">
                  <c:v>186.12</c:v>
                </c:pt>
                <c:pt idx="7">
                  <c:v>182.13</c:v>
                </c:pt>
                <c:pt idx="8">
                  <c:v>180.05</c:v>
                </c:pt>
                <c:pt idx="9">
                  <c:v>176.4</c:v>
                </c:pt>
                <c:pt idx="10">
                  <c:v>173.11</c:v>
                </c:pt>
                <c:pt idx="11">
                  <c:v>164.72</c:v>
                </c:pt>
                <c:pt idx="12">
                  <c:v>146.57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4721920"/>
        <c:axId val="531056896"/>
      </c:barChart>
      <c:catAx>
        <c:axId val="464721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1056896"/>
        <c:crosses val="autoZero"/>
        <c:auto val="1"/>
        <c:lblAlgn val="ctr"/>
        <c:lblOffset val="100"/>
        <c:noMultiLvlLbl val="0"/>
      </c:catAx>
      <c:valAx>
        <c:axId val="531056896"/>
        <c:scaling>
          <c:orientation val="minMax"/>
          <c:max val="3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4721920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151919569375862"/>
          <c:w val="0.93432721200366664"/>
          <c:h val="0.4139205480670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Уфа</c:v>
                </c:pt>
                <c:pt idx="2">
                  <c:v>Екатеринбург </c:v>
                </c:pt>
                <c:pt idx="3">
                  <c:v>Волгоград</c:v>
                </c:pt>
                <c:pt idx="4">
                  <c:v>Ростов-на-Дону</c:v>
                </c:pt>
                <c:pt idx="5">
                  <c:v>Самара</c:v>
                </c:pt>
                <c:pt idx="6">
                  <c:v>Н. Новгород</c:v>
                </c:pt>
                <c:pt idx="7">
                  <c:v>Красноярск</c:v>
                </c:pt>
                <c:pt idx="8">
                  <c:v>Новосибирск</c:v>
                </c:pt>
                <c:pt idx="9">
                  <c:v>Воронеж </c:v>
                </c:pt>
                <c:pt idx="10">
                  <c:v>Омск</c:v>
                </c:pt>
                <c:pt idx="11">
                  <c:v>Пермь</c:v>
                </c:pt>
                <c:pt idx="12">
                  <c:v>Челябинск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10.48</c:v>
                </c:pt>
                <c:pt idx="1">
                  <c:v>6.13</c:v>
                </c:pt>
                <c:pt idx="2">
                  <c:v>6.12</c:v>
                </c:pt>
                <c:pt idx="3">
                  <c:v>5.61</c:v>
                </c:pt>
                <c:pt idx="4">
                  <c:v>5.49</c:v>
                </c:pt>
                <c:pt idx="5">
                  <c:v>5.48</c:v>
                </c:pt>
                <c:pt idx="6">
                  <c:v>5.45</c:v>
                </c:pt>
                <c:pt idx="7">
                  <c:v>4.9800000000000004</c:v>
                </c:pt>
                <c:pt idx="8">
                  <c:v>4.68</c:v>
                </c:pt>
                <c:pt idx="9">
                  <c:v>4.37</c:v>
                </c:pt>
                <c:pt idx="10">
                  <c:v>3.53</c:v>
                </c:pt>
                <c:pt idx="11">
                  <c:v>3.11</c:v>
                </c:pt>
                <c:pt idx="12">
                  <c:v>2.98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5528320"/>
        <c:axId val="531059776"/>
      </c:barChart>
      <c:catAx>
        <c:axId val="465528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1059776"/>
        <c:crosses val="autoZero"/>
        <c:auto val="1"/>
        <c:lblAlgn val="ctr"/>
        <c:lblOffset val="100"/>
        <c:noMultiLvlLbl val="0"/>
      </c:catAx>
      <c:valAx>
        <c:axId val="531059776"/>
        <c:scaling>
          <c:orientation val="minMax"/>
          <c:max val="11"/>
          <c:min val="1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552832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19219480898221059"/>
          <c:w val="0.93432721200366664"/>
          <c:h val="0.37215398075240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Екатеринбург </c:v>
                </c:pt>
                <c:pt idx="2">
                  <c:v>Челябинск</c:v>
                </c:pt>
                <c:pt idx="3">
                  <c:v>Новосибирск</c:v>
                </c:pt>
                <c:pt idx="4">
                  <c:v>Красноярск</c:v>
                </c:pt>
                <c:pt idx="5">
                  <c:v>Уфа</c:v>
                </c:pt>
                <c:pt idx="6">
                  <c:v>Пермь</c:v>
                </c:pt>
                <c:pt idx="7">
                  <c:v>Самара</c:v>
                </c:pt>
                <c:pt idx="8">
                  <c:v>Воронеж 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Н. Новгород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12.54</c:v>
                </c:pt>
                <c:pt idx="1">
                  <c:v>11.08</c:v>
                </c:pt>
                <c:pt idx="2">
                  <c:v>10.5</c:v>
                </c:pt>
                <c:pt idx="3">
                  <c:v>10.41</c:v>
                </c:pt>
                <c:pt idx="4">
                  <c:v>10.32</c:v>
                </c:pt>
                <c:pt idx="5">
                  <c:v>9.93</c:v>
                </c:pt>
                <c:pt idx="6">
                  <c:v>9.69</c:v>
                </c:pt>
                <c:pt idx="7">
                  <c:v>9.49</c:v>
                </c:pt>
                <c:pt idx="8">
                  <c:v>9.23</c:v>
                </c:pt>
                <c:pt idx="9">
                  <c:v>9.25</c:v>
                </c:pt>
                <c:pt idx="10">
                  <c:v>8.98</c:v>
                </c:pt>
                <c:pt idx="11">
                  <c:v>8.77</c:v>
                </c:pt>
                <c:pt idx="12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525303808"/>
        <c:axId val="55498368"/>
      </c:barChart>
      <c:catAx>
        <c:axId val="525303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498368"/>
        <c:crosses val="autoZero"/>
        <c:auto val="1"/>
        <c:lblAlgn val="ctr"/>
        <c:lblOffset val="100"/>
        <c:noMultiLvlLbl val="0"/>
      </c:catAx>
      <c:valAx>
        <c:axId val="55498368"/>
        <c:scaling>
          <c:orientation val="minMax"/>
          <c:max val="13"/>
          <c:min val="1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5303808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Красноярск</c:v>
                </c:pt>
                <c:pt idx="2">
                  <c:v>Екатеринбург </c:v>
                </c:pt>
                <c:pt idx="3">
                  <c:v>Уфа</c:v>
                </c:pt>
                <c:pt idx="4">
                  <c:v>Новосибирск</c:v>
                </c:pt>
                <c:pt idx="5">
                  <c:v>Пермь</c:v>
                </c:pt>
                <c:pt idx="6">
                  <c:v>Челябинск</c:v>
                </c:pt>
                <c:pt idx="7">
                  <c:v>Ростов-на-Дону</c:v>
                </c:pt>
                <c:pt idx="8">
                  <c:v>Омск</c:v>
                </c:pt>
                <c:pt idx="9">
                  <c:v>Воронеж </c:v>
                </c:pt>
                <c:pt idx="10">
                  <c:v>Волгоград</c:v>
                </c:pt>
                <c:pt idx="11">
                  <c:v>Самара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14.5</c:v>
                </c:pt>
                <c:pt idx="1">
                  <c:v>14.56</c:v>
                </c:pt>
                <c:pt idx="2">
                  <c:v>14.94</c:v>
                </c:pt>
                <c:pt idx="3" formatCode="#,##0.0">
                  <c:v>14.98</c:v>
                </c:pt>
                <c:pt idx="4">
                  <c:v>15.53</c:v>
                </c:pt>
                <c:pt idx="5">
                  <c:v>15.73</c:v>
                </c:pt>
                <c:pt idx="6">
                  <c:v>16.079999999999998</c:v>
                </c:pt>
                <c:pt idx="7">
                  <c:v>16.91</c:v>
                </c:pt>
                <c:pt idx="8">
                  <c:v>17.059999999999999</c:v>
                </c:pt>
                <c:pt idx="9">
                  <c:v>18.32</c:v>
                </c:pt>
                <c:pt idx="10">
                  <c:v>18.399999999999999</c:v>
                </c:pt>
                <c:pt idx="11">
                  <c:v>18.98</c:v>
                </c:pt>
                <c:pt idx="12">
                  <c:v>19.02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525304832"/>
        <c:axId val="91071616"/>
      </c:barChart>
      <c:catAx>
        <c:axId val="525304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071616"/>
        <c:crosses val="autoZero"/>
        <c:auto val="1"/>
        <c:lblAlgn val="ctr"/>
        <c:lblOffset val="100"/>
        <c:noMultiLvlLbl val="0"/>
      </c:catAx>
      <c:valAx>
        <c:axId val="91071616"/>
        <c:scaling>
          <c:orientation val="minMax"/>
          <c:max val="2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5304832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43572388894426167"/>
          <c:w val="0.91018156553960172"/>
          <c:h val="0.48872055550018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215686274509803E-3"/>
                  <c:y val="-8.1734719868877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0720621947573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Красноярск</c:v>
                </c:pt>
                <c:pt idx="2">
                  <c:v>Уфа</c:v>
                </c:pt>
                <c:pt idx="3">
                  <c:v>Екатеринбург </c:v>
                </c:pt>
                <c:pt idx="4">
                  <c:v>Пермь</c:v>
                </c:pt>
                <c:pt idx="5">
                  <c:v>Челябинск</c:v>
                </c:pt>
                <c:pt idx="6">
                  <c:v>Новосибирск</c:v>
                </c:pt>
                <c:pt idx="7">
                  <c:v>Ростов-на-Дону</c:v>
                </c:pt>
                <c:pt idx="8">
                  <c:v>Омск</c:v>
                </c:pt>
                <c:pt idx="9">
                  <c:v>Воронеж </c:v>
                </c:pt>
                <c:pt idx="10">
                  <c:v>Самара</c:v>
                </c:pt>
                <c:pt idx="11">
                  <c:v>Волгоград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_(* #,##0.00_);_(* \(#,##0.00\);_(* "-"??_);_(@_)</c:formatCode>
                <c:ptCount val="13"/>
                <c:pt idx="0">
                  <c:v>-2.4700000000000002</c:v>
                </c:pt>
                <c:pt idx="1">
                  <c:v>-4.63</c:v>
                </c:pt>
                <c:pt idx="2">
                  <c:v>-5.74</c:v>
                </c:pt>
                <c:pt idx="3">
                  <c:v>-5.89</c:v>
                </c:pt>
                <c:pt idx="4">
                  <c:v>-6.34</c:v>
                </c:pt>
                <c:pt idx="5">
                  <c:v>-6.62</c:v>
                </c:pt>
                <c:pt idx="6">
                  <c:v>-8.3000000000000007</c:v>
                </c:pt>
                <c:pt idx="7">
                  <c:v>-8.7100000000000009</c:v>
                </c:pt>
                <c:pt idx="8">
                  <c:v>-9.2200000000000006</c:v>
                </c:pt>
                <c:pt idx="9">
                  <c:v>-9.5500000000000007</c:v>
                </c:pt>
                <c:pt idx="10">
                  <c:v>-10.87</c:v>
                </c:pt>
                <c:pt idx="11">
                  <c:v>-10.65</c:v>
                </c:pt>
                <c:pt idx="12">
                  <c:v>-12.96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531743232"/>
        <c:axId val="133864768"/>
      </c:barChart>
      <c:catAx>
        <c:axId val="531743232"/>
        <c:scaling>
          <c:orientation val="minMax"/>
        </c:scaling>
        <c:delete val="0"/>
        <c:axPos val="b"/>
        <c:majorTickMark val="in"/>
        <c:minorTickMark val="none"/>
        <c:tickLblPos val="high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864768"/>
        <c:crosses val="autoZero"/>
        <c:auto val="1"/>
        <c:lblAlgn val="ctr"/>
        <c:lblOffset val="100"/>
        <c:noMultiLvlLbl val="0"/>
      </c:catAx>
      <c:valAx>
        <c:axId val="133864768"/>
        <c:scaling>
          <c:orientation val="minMax"/>
          <c:max val="0"/>
          <c:min val="-14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1743232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Уфа</c:v>
                </c:pt>
                <c:pt idx="2">
                  <c:v>Воронеж </c:v>
                </c:pt>
                <c:pt idx="3">
                  <c:v>Новосибирск</c:v>
                </c:pt>
                <c:pt idx="4">
                  <c:v>Ростов-на-Дону</c:v>
                </c:pt>
                <c:pt idx="5">
                  <c:v>Екатеринбург </c:v>
                </c:pt>
                <c:pt idx="6">
                  <c:v>Волгоград</c:v>
                </c:pt>
                <c:pt idx="7">
                  <c:v>Казань </c:v>
                </c:pt>
                <c:pt idx="8">
                  <c:v>Пермь</c:v>
                </c:pt>
                <c:pt idx="9">
                  <c:v>Челябинск</c:v>
                </c:pt>
                <c:pt idx="10">
                  <c:v>Самара</c:v>
                </c:pt>
                <c:pt idx="11">
                  <c:v>Н. Новгород</c:v>
                </c:pt>
                <c:pt idx="12">
                  <c:v>Омск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42.7</c:v>
                </c:pt>
                <c:pt idx="1">
                  <c:v>35.31</c:v>
                </c:pt>
                <c:pt idx="2">
                  <c:v>27.25</c:v>
                </c:pt>
                <c:pt idx="3">
                  <c:v>26.24</c:v>
                </c:pt>
                <c:pt idx="4">
                  <c:v>25.64</c:v>
                </c:pt>
                <c:pt idx="5">
                  <c:v>23.16</c:v>
                </c:pt>
                <c:pt idx="6">
                  <c:v>22.52</c:v>
                </c:pt>
                <c:pt idx="7">
                  <c:v>22.23</c:v>
                </c:pt>
                <c:pt idx="8">
                  <c:v>20.440000000000001</c:v>
                </c:pt>
                <c:pt idx="9">
                  <c:v>19.399999999999999</c:v>
                </c:pt>
                <c:pt idx="10">
                  <c:v>19.21</c:v>
                </c:pt>
                <c:pt idx="11">
                  <c:v>16.04</c:v>
                </c:pt>
                <c:pt idx="12">
                  <c:v>15.55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525304320"/>
        <c:axId val="420041216"/>
      </c:barChart>
      <c:catAx>
        <c:axId val="52530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0041216"/>
        <c:crosses val="autoZero"/>
        <c:auto val="1"/>
        <c:lblAlgn val="ctr"/>
        <c:lblOffset val="100"/>
        <c:noMultiLvlLbl val="0"/>
      </c:catAx>
      <c:valAx>
        <c:axId val="420041216"/>
        <c:scaling>
          <c:orientation val="minMax"/>
          <c:max val="4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164451778795E-2"/>
              <c:y val="4.5404642979184392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530432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Н. Новгород</c:v>
                </c:pt>
                <c:pt idx="1">
                  <c:v>Волгоград</c:v>
                </c:pt>
                <c:pt idx="2">
                  <c:v>Самара</c:v>
                </c:pt>
                <c:pt idx="3">
                  <c:v>Казань </c:v>
                </c:pt>
                <c:pt idx="4">
                  <c:v>Омск</c:v>
                </c:pt>
                <c:pt idx="5">
                  <c:v>Ростов-на-Дону</c:v>
                </c:pt>
                <c:pt idx="6">
                  <c:v>Воронеж </c:v>
                </c:pt>
                <c:pt idx="7">
                  <c:v>Новосибирск</c:v>
                </c:pt>
                <c:pt idx="8">
                  <c:v>Пермь</c:v>
                </c:pt>
                <c:pt idx="9">
                  <c:v>Екатеринбург </c:v>
                </c:pt>
                <c:pt idx="10">
                  <c:v>Челябинск</c:v>
                </c:pt>
                <c:pt idx="11">
                  <c:v>Уфа</c:v>
                </c:pt>
                <c:pt idx="12">
                  <c:v>Красноярск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13.93</c:v>
                </c:pt>
                <c:pt idx="1">
                  <c:v>15.2</c:v>
                </c:pt>
                <c:pt idx="2">
                  <c:v>16.55</c:v>
                </c:pt>
                <c:pt idx="3">
                  <c:v>18.63</c:v>
                </c:pt>
                <c:pt idx="4">
                  <c:v>19.21</c:v>
                </c:pt>
                <c:pt idx="5">
                  <c:v>20.260000000000002</c:v>
                </c:pt>
                <c:pt idx="6">
                  <c:v>19.7</c:v>
                </c:pt>
                <c:pt idx="7">
                  <c:v>20.28</c:v>
                </c:pt>
                <c:pt idx="8">
                  <c:v>20.38</c:v>
                </c:pt>
                <c:pt idx="9">
                  <c:v>20.38</c:v>
                </c:pt>
                <c:pt idx="10">
                  <c:v>20.95</c:v>
                </c:pt>
                <c:pt idx="11">
                  <c:v>22.18</c:v>
                </c:pt>
                <c:pt idx="12">
                  <c:v>29.02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4719872"/>
        <c:axId val="420042944"/>
      </c:barChart>
      <c:catAx>
        <c:axId val="464719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0042944"/>
        <c:crosses val="autoZero"/>
        <c:auto val="1"/>
        <c:lblAlgn val="ctr"/>
        <c:lblOffset val="100"/>
        <c:noMultiLvlLbl val="0"/>
      </c:catAx>
      <c:valAx>
        <c:axId val="420042944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4719872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34908136482944E-2"/>
          <c:y val="1.1974740781164734E-3"/>
          <c:w val="0.93432721200366664"/>
          <c:h val="0.4358471190344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Уфа</c:v>
                </c:pt>
                <c:pt idx="2">
                  <c:v>Новосибирск</c:v>
                </c:pt>
                <c:pt idx="3">
                  <c:v>Воронеж </c:v>
                </c:pt>
                <c:pt idx="4">
                  <c:v>Волгоград</c:v>
                </c:pt>
                <c:pt idx="5">
                  <c:v>Воронеж </c:v>
                </c:pt>
                <c:pt idx="6">
                  <c:v>Ростов-на-Дону</c:v>
                </c:pt>
                <c:pt idx="7">
                  <c:v>Казань </c:v>
                </c:pt>
                <c:pt idx="8">
                  <c:v>Екатеринбург </c:v>
                </c:pt>
                <c:pt idx="9">
                  <c:v>Самара</c:v>
                </c:pt>
                <c:pt idx="10">
                  <c:v>Н. Новгород</c:v>
                </c:pt>
                <c:pt idx="11">
                  <c:v>Пермь</c:v>
                </c:pt>
                <c:pt idx="12">
                  <c:v>Челябинск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_-* #,##0.0\ _₽_-;\-* #,##0.0\ _₽_-;_-* "-"??\ _₽_-;_-@_-</c:formatCode>
                <c:ptCount val="14"/>
                <c:pt idx="0">
                  <c:v>7.69</c:v>
                </c:pt>
                <c:pt idx="1">
                  <c:v>4.91</c:v>
                </c:pt>
                <c:pt idx="2">
                  <c:v>4.59</c:v>
                </c:pt>
                <c:pt idx="3">
                  <c:v>3.83</c:v>
                </c:pt>
                <c:pt idx="4">
                  <c:v>3.79</c:v>
                </c:pt>
                <c:pt idx="5">
                  <c:v>3.83</c:v>
                </c:pt>
                <c:pt idx="6">
                  <c:v>2.4900000000000002</c:v>
                </c:pt>
                <c:pt idx="7">
                  <c:v>1.9</c:v>
                </c:pt>
                <c:pt idx="8">
                  <c:v>1.85</c:v>
                </c:pt>
                <c:pt idx="9">
                  <c:v>1.41</c:v>
                </c:pt>
                <c:pt idx="10">
                  <c:v>0.95</c:v>
                </c:pt>
                <c:pt idx="11">
                  <c:v>-1.06</c:v>
                </c:pt>
                <c:pt idx="12">
                  <c:v>-1.69</c:v>
                </c:pt>
                <c:pt idx="13">
                  <c:v>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722432"/>
        <c:axId val="420076288"/>
      </c:barChart>
      <c:catAx>
        <c:axId val="464722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0076288"/>
        <c:crosses val="autoZero"/>
        <c:auto val="1"/>
        <c:lblAlgn val="ctr"/>
        <c:lblOffset val="100"/>
        <c:noMultiLvlLbl val="0"/>
      </c:catAx>
      <c:valAx>
        <c:axId val="420076288"/>
        <c:scaling>
          <c:orientation val="minMax"/>
          <c:max val="3000"/>
          <c:min val="-6000"/>
        </c:scaling>
        <c:delete val="1"/>
        <c:axPos val="l"/>
        <c:numFmt formatCode="#,##0" sourceLinked="0"/>
        <c:majorTickMark val="out"/>
        <c:minorTickMark val="none"/>
        <c:tickLblPos val="nextTo"/>
        <c:crossAx val="464722432"/>
        <c:crosses val="autoZero"/>
        <c:crossBetween val="between"/>
        <c:majorUnit val="1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321599505944112E-2"/>
          <c:y val="0.22862051334492278"/>
          <c:w val="0.93432721200366664"/>
          <c:h val="0.6860090799460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Уфа</c:v>
                </c:pt>
                <c:pt idx="2">
                  <c:v>Новосибирск</c:v>
                </c:pt>
                <c:pt idx="3">
                  <c:v>Воронеж </c:v>
                </c:pt>
                <c:pt idx="4">
                  <c:v>Волгоград</c:v>
                </c:pt>
                <c:pt idx="5">
                  <c:v>Ростов-на-Дону</c:v>
                </c:pt>
                <c:pt idx="6">
                  <c:v>Казань </c:v>
                </c:pt>
                <c:pt idx="7">
                  <c:v>Екатеринбург </c:v>
                </c:pt>
                <c:pt idx="8">
                  <c:v>Самара</c:v>
                </c:pt>
                <c:pt idx="9">
                  <c:v>Н. Новгород</c:v>
                </c:pt>
                <c:pt idx="10">
                  <c:v>Пермь</c:v>
                </c:pt>
                <c:pt idx="11">
                  <c:v>Челябинск</c:v>
                </c:pt>
                <c:pt idx="12">
                  <c:v>Омск</c:v>
                </c:pt>
              </c:strCache>
            </c:strRef>
          </c:cat>
          <c:val>
            <c:numRef>
              <c:f>Лист1!$B$2:$B$14</c:f>
              <c:numCache>
                <c:formatCode>_-* #,##0.0\ _₽_-;\-* #,##0.0\ _₽_-;_-* "-"??\ _₽_-;_-@_-</c:formatCode>
                <c:ptCount val="13"/>
                <c:pt idx="0">
                  <c:v>14.96</c:v>
                </c:pt>
                <c:pt idx="1">
                  <c:v>14.93</c:v>
                </c:pt>
                <c:pt idx="2">
                  <c:v>9.67</c:v>
                </c:pt>
                <c:pt idx="3">
                  <c:v>7.93</c:v>
                </c:pt>
                <c:pt idx="4">
                  <c:v>7.39</c:v>
                </c:pt>
                <c:pt idx="5">
                  <c:v>6.12</c:v>
                </c:pt>
                <c:pt idx="6">
                  <c:v>4.53</c:v>
                </c:pt>
                <c:pt idx="7">
                  <c:v>4.25</c:v>
                </c:pt>
                <c:pt idx="8">
                  <c:v>3.06</c:v>
                </c:pt>
                <c:pt idx="9">
                  <c:v>2.68</c:v>
                </c:pt>
                <c:pt idx="10">
                  <c:v>0.06</c:v>
                </c:pt>
                <c:pt idx="11">
                  <c:v>-1.85</c:v>
                </c:pt>
                <c:pt idx="12">
                  <c:v>-4.17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525305856"/>
        <c:axId val="527630912"/>
      </c:barChart>
      <c:catAx>
        <c:axId val="525305856"/>
        <c:scaling>
          <c:orientation val="minMax"/>
        </c:scaling>
        <c:delete val="1"/>
        <c:axPos val="b"/>
        <c:majorTickMark val="out"/>
        <c:minorTickMark val="none"/>
        <c:tickLblPos val="nextTo"/>
        <c:crossAx val="527630912"/>
        <c:crosses val="autoZero"/>
        <c:auto val="1"/>
        <c:lblAlgn val="ctr"/>
        <c:lblOffset val="100"/>
        <c:noMultiLvlLbl val="0"/>
      </c:catAx>
      <c:valAx>
        <c:axId val="527630912"/>
        <c:scaling>
          <c:orientation val="minMax"/>
          <c:max val="15"/>
          <c:min val="-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5305856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5574640979507398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Челябинск</c:v>
                </c:pt>
                <c:pt idx="4">
                  <c:v>Уфа</c:v>
                </c:pt>
                <c:pt idx="5">
                  <c:v>Казань </c:v>
                </c:pt>
                <c:pt idx="6">
                  <c:v>Пермь</c:v>
                </c:pt>
                <c:pt idx="7">
                  <c:v>Красноярск</c:v>
                </c:pt>
                <c:pt idx="8">
                  <c:v>Воронеж 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Новосибирск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309.55</c:v>
                </c:pt>
                <c:pt idx="1">
                  <c:v>294.14</c:v>
                </c:pt>
                <c:pt idx="2">
                  <c:v>290.88</c:v>
                </c:pt>
                <c:pt idx="3">
                  <c:v>266.83999999999997</c:v>
                </c:pt>
                <c:pt idx="4">
                  <c:v>269.10000000000002</c:v>
                </c:pt>
                <c:pt idx="5">
                  <c:v>266.83999999999997</c:v>
                </c:pt>
                <c:pt idx="6">
                  <c:v>256.38</c:v>
                </c:pt>
                <c:pt idx="7">
                  <c:v>254.07</c:v>
                </c:pt>
                <c:pt idx="8">
                  <c:v>251.19</c:v>
                </c:pt>
                <c:pt idx="9">
                  <c:v>247.6</c:v>
                </c:pt>
                <c:pt idx="10">
                  <c:v>240.11</c:v>
                </c:pt>
                <c:pt idx="11">
                  <c:v>236.95</c:v>
                </c:pt>
                <c:pt idx="12">
                  <c:v>229.71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464720384"/>
        <c:axId val="527632640"/>
      </c:barChart>
      <c:catAx>
        <c:axId val="464720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7632640"/>
        <c:crosses val="autoZero"/>
        <c:auto val="1"/>
        <c:lblAlgn val="ctr"/>
        <c:lblOffset val="100"/>
        <c:noMultiLvlLbl val="0"/>
      </c:catAx>
      <c:valAx>
        <c:axId val="527632640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4720384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   </a:t>
          </a:r>
          <a:r>
            <a:rPr lang="ru-RU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Г</a:t>
          </a:r>
          <a:r>
            <a:rPr lang="ru-RU" sz="12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орода СФО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Красноярск</a:t>
          </a:r>
          <a:endParaRPr lang="ru-RU" sz="1200">
            <a:solidFill>
              <a:schemeClr val="tx1">
                <a:lumMod val="75000"/>
                <a:lumOff val="2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0.27656</cdr:x>
      <cdr:y>0.89167</cdr:y>
    </cdr:from>
    <cdr:to>
      <cdr:x>0.29549</cdr:x>
      <cdr:y>0.9375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09749" y="21742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0.53324</cdr:x>
      <cdr:y>0.89688</cdr:y>
    </cdr:from>
    <cdr:to>
      <cdr:x>0.55216</cdr:x>
      <cdr:y>0.94271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489324" y="21869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0.03879</cdr:x>
      <cdr:y>0.73759</cdr:y>
    </cdr:from>
    <cdr:to>
      <cdr:x>0.97132</cdr:x>
      <cdr:y>0.73759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51266" y="990601"/>
          <a:ext cx="6039997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A3E57-4BCB-4534-BBE0-AF34522E376C}"/>
</file>

<file path=customXml/itemProps2.xml><?xml version="1.0" encoding="utf-8"?>
<ds:datastoreItem xmlns:ds="http://schemas.openxmlformats.org/officeDocument/2006/customXml" ds:itemID="{FAD0BDE7-5550-4274-AF83-CB74E16F194C}"/>
</file>

<file path=customXml/itemProps3.xml><?xml version="1.0" encoding="utf-8"?>
<ds:datastoreItem xmlns:ds="http://schemas.openxmlformats.org/officeDocument/2006/customXml" ds:itemID="{1585D533-FB3A-4AC8-A65A-0912574C4020}"/>
</file>

<file path=customXml/itemProps4.xml><?xml version="1.0" encoding="utf-8"?>
<ds:datastoreItem xmlns:ds="http://schemas.openxmlformats.org/officeDocument/2006/customXml" ds:itemID="{237B3370-B306-4821-9FEF-AD46BFE33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Маскина Татьяна Александровна</cp:lastModifiedBy>
  <cp:revision>6</cp:revision>
  <cp:lastPrinted>2021-12-21T03:23:00Z</cp:lastPrinted>
  <dcterms:created xsi:type="dcterms:W3CDTF">2022-03-30T07:42:00Z</dcterms:created>
  <dcterms:modified xsi:type="dcterms:W3CDTF">2022-04-19T07:42:00Z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