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05" w:rsidRDefault="00C231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3105" w:rsidRDefault="00C23105">
      <w:pPr>
        <w:pStyle w:val="ConsPlusNormal"/>
        <w:jc w:val="both"/>
        <w:outlineLvl w:val="0"/>
      </w:pPr>
    </w:p>
    <w:p w:rsidR="00C23105" w:rsidRDefault="00C23105">
      <w:pPr>
        <w:pStyle w:val="ConsPlusTitle"/>
        <w:jc w:val="center"/>
        <w:outlineLvl w:val="0"/>
      </w:pPr>
      <w:r>
        <w:t>АДМИНИСТРАЦИЯ ГОРОДА КРАСНОЯРСКА</w:t>
      </w:r>
    </w:p>
    <w:p w:rsidR="00C23105" w:rsidRDefault="00C23105">
      <w:pPr>
        <w:pStyle w:val="ConsPlusTitle"/>
        <w:jc w:val="center"/>
      </w:pPr>
    </w:p>
    <w:p w:rsidR="00C23105" w:rsidRDefault="00C23105">
      <w:pPr>
        <w:pStyle w:val="ConsPlusTitle"/>
        <w:jc w:val="center"/>
      </w:pPr>
      <w:r>
        <w:t>ПОСТАНОВЛЕНИЕ</w:t>
      </w:r>
    </w:p>
    <w:p w:rsidR="00C23105" w:rsidRDefault="00C23105">
      <w:pPr>
        <w:pStyle w:val="ConsPlusTitle"/>
        <w:jc w:val="center"/>
      </w:pPr>
      <w:r>
        <w:t>от 25 мая 2017 г. N 326</w:t>
      </w:r>
    </w:p>
    <w:p w:rsidR="00C23105" w:rsidRDefault="00C23105">
      <w:pPr>
        <w:pStyle w:val="ConsPlusTitle"/>
        <w:jc w:val="center"/>
      </w:pPr>
    </w:p>
    <w:p w:rsidR="00C23105" w:rsidRDefault="00C23105">
      <w:pPr>
        <w:pStyle w:val="ConsPlusTitle"/>
        <w:jc w:val="center"/>
      </w:pPr>
      <w:r>
        <w:t>ОБ УТВЕРЖДЕНИИ АРХИТЕКТУРНО-ХУДОЖЕСТВЕННОГО РЕГЛАМЕНТА</w:t>
      </w:r>
    </w:p>
    <w:p w:rsidR="00C23105" w:rsidRDefault="00C23105">
      <w:pPr>
        <w:pStyle w:val="ConsPlusTitle"/>
        <w:jc w:val="center"/>
      </w:pPr>
      <w:r>
        <w:t>УЛИЦ ГОРОДА КРАСНОЯРСКА, ПОДЛЕЖАЩИХ РЕМОНТУ</w:t>
      </w:r>
    </w:p>
    <w:p w:rsidR="00C23105" w:rsidRDefault="00C23105">
      <w:pPr>
        <w:pStyle w:val="ConsPlusTitle"/>
        <w:jc w:val="center"/>
      </w:pPr>
      <w:r>
        <w:t>(КАПИТАЛЬНОМУ РЕМОНТУ)</w:t>
      </w:r>
    </w:p>
    <w:p w:rsidR="00C23105" w:rsidRDefault="00C23105">
      <w:pPr>
        <w:pStyle w:val="ConsPlusNormal"/>
        <w:jc w:val="both"/>
      </w:pPr>
    </w:p>
    <w:p w:rsidR="00C23105" w:rsidRDefault="00C23105">
      <w:pPr>
        <w:pStyle w:val="ConsPlusNonformat"/>
        <w:jc w:val="both"/>
      </w:pPr>
      <w:r>
        <w:t xml:space="preserve">    В  соответствии со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Закона Красноярского края от 08.12.2016</w:t>
      </w:r>
    </w:p>
    <w:p w:rsidR="00C23105" w:rsidRDefault="00C23105">
      <w:pPr>
        <w:pStyle w:val="ConsPlusNonformat"/>
        <w:jc w:val="both"/>
      </w:pPr>
      <w:r>
        <w:t>N  2-195  "О  краевом  бюджете  на  2017  год и плановый период 2018 - 2019</w:t>
      </w:r>
    </w:p>
    <w:p w:rsidR="00C23105" w:rsidRDefault="00C23105">
      <w:pPr>
        <w:pStyle w:val="ConsPlusNonformat"/>
        <w:jc w:val="both"/>
      </w:pPr>
      <w:r>
        <w:t xml:space="preserve">                  2</w:t>
      </w:r>
    </w:p>
    <w:p w:rsidR="00C23105" w:rsidRDefault="00C23105">
      <w:pPr>
        <w:pStyle w:val="ConsPlusNonformat"/>
        <w:jc w:val="both"/>
      </w:pPr>
      <w:r>
        <w:t xml:space="preserve">годов", </w:t>
      </w:r>
      <w:hyperlink r:id="rId7" w:history="1">
        <w:r>
          <w:rPr>
            <w:color w:val="0000FF"/>
          </w:rPr>
          <w:t>пунктом 11 .4</w:t>
        </w:r>
      </w:hyperlink>
      <w:r>
        <w:t xml:space="preserve"> Правил благоустройства территории города Красноярска,</w:t>
      </w:r>
    </w:p>
    <w:p w:rsidR="00C23105" w:rsidRDefault="00C23105">
      <w:pPr>
        <w:pStyle w:val="ConsPlusNonformat"/>
        <w:jc w:val="both"/>
      </w:pPr>
      <w:r>
        <w:t>утвержденных    Решением    Красноярского   городского   Совета   депутатов</w:t>
      </w:r>
    </w:p>
    <w:p w:rsidR="00C23105" w:rsidRDefault="00C23105">
      <w:pPr>
        <w:pStyle w:val="ConsPlusNonformat"/>
        <w:jc w:val="both"/>
      </w:pPr>
      <w:r>
        <w:t xml:space="preserve">от  25.06.2013  N  В-378, 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</w:t>
      </w:r>
    </w:p>
    <w:p w:rsidR="00C23105" w:rsidRDefault="00C23105">
      <w:pPr>
        <w:pStyle w:val="ConsPlusNonformat"/>
        <w:jc w:val="both"/>
      </w:pPr>
      <w:r>
        <w:t>Красноярска, постановляю:</w:t>
      </w:r>
    </w:p>
    <w:p w:rsidR="00C23105" w:rsidRDefault="00C23105">
      <w:pPr>
        <w:pStyle w:val="ConsPlusNormal"/>
        <w:ind w:firstLine="540"/>
        <w:jc w:val="both"/>
      </w:pPr>
      <w:r>
        <w:t xml:space="preserve">1. Утвердить Архитектурно-художественный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улиц города Красноярска, подлежащих ремонту (капитальному ремонту), согласно приложению.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C23105" w:rsidRDefault="00C23105">
      <w:pPr>
        <w:pStyle w:val="ConsPlusNormal"/>
        <w:jc w:val="both"/>
      </w:pPr>
    </w:p>
    <w:p w:rsidR="00C23105" w:rsidRDefault="00C23105">
      <w:pPr>
        <w:pStyle w:val="ConsPlusNormal"/>
        <w:jc w:val="right"/>
      </w:pPr>
      <w:r>
        <w:t>Глава города</w:t>
      </w:r>
    </w:p>
    <w:p w:rsidR="00C23105" w:rsidRDefault="00C23105">
      <w:pPr>
        <w:pStyle w:val="ConsPlusNormal"/>
        <w:jc w:val="right"/>
      </w:pPr>
      <w:r>
        <w:t>Э.Ш.АКБУЛАТОВ</w:t>
      </w:r>
    </w:p>
    <w:p w:rsidR="00C23105" w:rsidRDefault="00C23105">
      <w:pPr>
        <w:pStyle w:val="ConsPlusNormal"/>
        <w:jc w:val="both"/>
      </w:pPr>
    </w:p>
    <w:p w:rsidR="00C23105" w:rsidRDefault="00C23105">
      <w:pPr>
        <w:pStyle w:val="ConsPlusNormal"/>
        <w:jc w:val="both"/>
      </w:pPr>
    </w:p>
    <w:p w:rsidR="00C23105" w:rsidRDefault="00C23105">
      <w:pPr>
        <w:pStyle w:val="ConsPlusNormal"/>
        <w:jc w:val="both"/>
      </w:pPr>
    </w:p>
    <w:p w:rsidR="00C23105" w:rsidRDefault="00C23105">
      <w:pPr>
        <w:pStyle w:val="ConsPlusNormal"/>
        <w:jc w:val="both"/>
      </w:pPr>
    </w:p>
    <w:p w:rsidR="00C23105" w:rsidRDefault="00C23105">
      <w:pPr>
        <w:pStyle w:val="ConsPlusNormal"/>
        <w:jc w:val="both"/>
      </w:pPr>
    </w:p>
    <w:p w:rsidR="00C23105" w:rsidRDefault="00C23105">
      <w:pPr>
        <w:pStyle w:val="ConsPlusNormal"/>
        <w:jc w:val="right"/>
        <w:outlineLvl w:val="0"/>
      </w:pPr>
      <w:r>
        <w:t>Приложение</w:t>
      </w:r>
    </w:p>
    <w:p w:rsidR="00C23105" w:rsidRDefault="00C23105">
      <w:pPr>
        <w:pStyle w:val="ConsPlusNormal"/>
        <w:jc w:val="right"/>
      </w:pPr>
      <w:r>
        <w:t>к Постановлению</w:t>
      </w:r>
    </w:p>
    <w:p w:rsidR="00C23105" w:rsidRDefault="00C23105">
      <w:pPr>
        <w:pStyle w:val="ConsPlusNormal"/>
        <w:jc w:val="right"/>
      </w:pPr>
      <w:r>
        <w:t>администрации города</w:t>
      </w:r>
    </w:p>
    <w:p w:rsidR="00C23105" w:rsidRDefault="00C23105">
      <w:pPr>
        <w:pStyle w:val="ConsPlusNormal"/>
        <w:jc w:val="right"/>
      </w:pPr>
      <w:r>
        <w:t>от 25 мая 2017 г. N 326</w:t>
      </w:r>
    </w:p>
    <w:p w:rsidR="00C23105" w:rsidRDefault="00C23105">
      <w:pPr>
        <w:pStyle w:val="ConsPlusNormal"/>
        <w:jc w:val="both"/>
      </w:pPr>
    </w:p>
    <w:p w:rsidR="00C23105" w:rsidRDefault="00C23105">
      <w:pPr>
        <w:pStyle w:val="ConsPlusTitle"/>
        <w:jc w:val="center"/>
      </w:pPr>
      <w:bookmarkStart w:id="0" w:name="P33"/>
      <w:bookmarkEnd w:id="0"/>
      <w:r>
        <w:t>АРХИТЕКТУРНО-ХУДОЖЕСТВЕННЫЙ РЕГЛАМЕНТ</w:t>
      </w:r>
    </w:p>
    <w:p w:rsidR="00C23105" w:rsidRDefault="00C23105">
      <w:pPr>
        <w:pStyle w:val="ConsPlusTitle"/>
        <w:jc w:val="center"/>
      </w:pPr>
      <w:r>
        <w:t>УЛИЦ ГОРОДА КРАСНОЯРСКА, ПОДЛЕЖАЩИХ РЕМОНТУ</w:t>
      </w:r>
    </w:p>
    <w:p w:rsidR="00C23105" w:rsidRDefault="00C23105">
      <w:pPr>
        <w:pStyle w:val="ConsPlusTitle"/>
        <w:jc w:val="center"/>
      </w:pPr>
      <w:r>
        <w:t>(КАПИТАЛЬНОМУ РЕМОНТУ)</w:t>
      </w:r>
    </w:p>
    <w:p w:rsidR="00C23105" w:rsidRDefault="00C23105">
      <w:pPr>
        <w:pStyle w:val="ConsPlusNormal"/>
        <w:jc w:val="both"/>
      </w:pPr>
    </w:p>
    <w:p w:rsidR="00C23105" w:rsidRDefault="00C23105">
      <w:pPr>
        <w:pStyle w:val="ConsPlusNormal"/>
        <w:ind w:firstLine="540"/>
        <w:jc w:val="both"/>
      </w:pPr>
      <w:r>
        <w:t>1. Архитектурно-художественный регламент улиц города Красноярска, подлежащих ремонту (капитальному ремонту) (далее - улицы города), устанавливает требования к цветовому решению, материалу, внешнему облику объектов благоустройства, размещаемых на улицах города, за исключением заборов (ограждений) (далее - Регламент).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Требования настоящего Регламента подлежат обязательному исполнению при ремонте (капитальном ремонте) улиц города, осуществляемом за счет бюджетных средств.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2. В целях настоящего Регламента используются следующие понятия и термины: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 xml:space="preserve">под улицами города понимаются автомобильные дороги общего пользования местного значения, подлежащие ремонту (капитальному ремонту) (далее - автомобильные дороги). </w:t>
      </w:r>
      <w:proofErr w:type="gramStart"/>
      <w:r>
        <w:t xml:space="preserve">Термин "автомобильные дороги" употребляется в значении, определенном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  <w:proofErr w:type="gramEnd"/>
    </w:p>
    <w:p w:rsidR="00C23105" w:rsidRDefault="00C23105">
      <w:pPr>
        <w:pStyle w:val="ConsPlusNormal"/>
        <w:spacing w:before="220"/>
        <w:ind w:firstLine="540"/>
        <w:jc w:val="both"/>
      </w:pPr>
      <w:proofErr w:type="gramStart"/>
      <w:r>
        <w:t>объекты благоустройства - декоративные, технические, планировочные, конструктивные устройства, объекты инженерной инфраструктуры, зеленые насаждения, малые архитектурные формы, другие объекты, используемые как составные части благоустройства.</w:t>
      </w:r>
      <w:proofErr w:type="gramEnd"/>
    </w:p>
    <w:p w:rsidR="00C23105" w:rsidRDefault="00C23105">
      <w:pPr>
        <w:pStyle w:val="ConsPlusNormal"/>
        <w:spacing w:before="220"/>
        <w:ind w:firstLine="540"/>
        <w:jc w:val="both"/>
      </w:pPr>
      <w:r>
        <w:t>3. На улицах города обеспечиваются: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открытость и проницаемость территорий для визуального восприятия;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условия беспрепятственного передвижения населения (включая маломобильные группы);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достижение стилевого единства объектов благоустройства с окружающей городской средой.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4. На улицах города применяются следующие виды покрытий:</w:t>
      </w:r>
    </w:p>
    <w:p w:rsidR="00C23105" w:rsidRDefault="00C23105">
      <w:pPr>
        <w:pStyle w:val="ConsPlusNormal"/>
        <w:spacing w:before="220"/>
        <w:ind w:firstLine="540"/>
        <w:jc w:val="both"/>
      </w:pPr>
      <w:proofErr w:type="gramStart"/>
      <w:r>
        <w:t>твердые (капитальные) монолитные или сборные, выполняемые из асфальтобетона, цементобетона, природного камня и иных подобных материалов;</w:t>
      </w:r>
      <w:proofErr w:type="gramEnd"/>
    </w:p>
    <w:p w:rsidR="00C23105" w:rsidRDefault="00C23105">
      <w:pPr>
        <w:pStyle w:val="ConsPlusNormal"/>
        <w:spacing w:before="220"/>
        <w:ind w:firstLine="540"/>
        <w:jc w:val="both"/>
      </w:pPr>
      <w:r>
        <w:t>мягкие (некапитальные), выполняемые из природных или искусственных сыпучих материалов (песок, щебень, гранитные высевки, керамзит, резиновая крошка и иные подобные материалы), находящихся в естественном состоянии, сухих смесях, уплотненных или укрепленных вяжущими материалами;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газонные, выполняемые по специальным технологиям подготовки и посадки травяного покрова;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комбинированные, представляющие сочетания покрытий, вышеуказанных (плитка, утопленная в газон, и иные подобные материалы).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Требования к характеристикам применяемых покрытий: прочность, ремонтопригодность, экологичность, отсутствие скольжения.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Выбор видов покрытий осуществляется в соответствии с их целевым назначением: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твердых - с учетом возможных предельных нагрузок, характера и состава движения, а также требований пожарной безопасности;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мягких - с учетом их специфических свой</w:t>
      </w:r>
      <w:proofErr w:type="gramStart"/>
      <w:r>
        <w:t>ств пр</w:t>
      </w:r>
      <w:proofErr w:type="gramEnd"/>
      <w:r>
        <w:t>и благоустройстве отдельных видов территорий (площадок различного вида, прогулочных дорожек и иных территорий);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газонных и комбинированных - с учетом их наибольшей экологичности и требований пожарной безопасности.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5. На улицах города преграды в виде края тротуара в зонах остановок общественного транспорта и переходов через автомобильную дорогу выделяются полосами тактильного покрытия.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6. Если на тактильном покрытии имеются продольные бороздки шириной более 15 миллиметров и глубиной более 6 миллиметров, их не следует располагать вдоль направления движения. Необходимо применять тактильную плитку светлых тонов естественных природных цветов (</w:t>
      </w:r>
      <w:proofErr w:type="gramStart"/>
      <w:r>
        <w:t>светло-желтая</w:t>
      </w:r>
      <w:proofErr w:type="gramEnd"/>
      <w:r>
        <w:t>, бежевая, светло-коричневая).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7. К элементам сопряжения поверхностей относятся различные виды бортовых камней, пандусы, ступени, лестницы.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lastRenderedPageBreak/>
        <w:t>8. На стыке тротуара и проезжей части автомобильной дороги устанавливаются дорожные бортовые камни, превышающие уровень тротуара на 30 - 40 мм, уровень газона - не менее чем на 50 мм.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Для предотвращения наезда автотранспорта на газон в местах сопряжения покрытия автомобильной дороги с газоном применяется повышенный бортовой камень.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Применение изменения высоты и геометрии бортового камня должно производиться с учетом сезонных снежных отвалов.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9. При сопряжении покрытия пешеходной дорожки с газоном устанавливается бортовой камень для защиты газона и предотвращения попадания грязи и растительного мусора на покрытие.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10. Требования к цветовому решению, внешнему облику объектов благоустройства:</w:t>
      </w:r>
    </w:p>
    <w:p w:rsidR="00C23105" w:rsidRDefault="00C23105">
      <w:pPr>
        <w:pStyle w:val="ConsPlusNormal"/>
        <w:spacing w:before="220"/>
        <w:ind w:firstLine="540"/>
        <w:jc w:val="both"/>
      </w:pPr>
      <w:proofErr w:type="gramStart"/>
      <w:r>
        <w:t>нейтральный к окружению цвет (допустимы натуральные цвета материалов, таких как камень, металл, дерево и подобные, либо нейтральные цвета черный, белый, серый, темные оттенки других цветов, при этом черный цвет используется вблизи зеленых насаждений, серый и (или) серебряный - вблизи транспортных потоков, белый и (или) черный - в парковых зонах);</w:t>
      </w:r>
      <w:proofErr w:type="gramEnd"/>
    </w:p>
    <w:p w:rsidR="00C23105" w:rsidRDefault="00C23105">
      <w:pPr>
        <w:pStyle w:val="ConsPlusNormal"/>
        <w:spacing w:before="220"/>
        <w:ind w:firstLine="540"/>
        <w:jc w:val="both"/>
      </w:pPr>
      <w:r>
        <w:t>выполнение разграничения элементов озеленения защитного назначения и конструктивных элементов (дорожное полотно, дорожное покрытие и подобные элементы), мест отдыха, остановочных пунктов, пешеходных дорожек, тротуаров, других предназначенных для обеспечения дорожного движения, в том числе его безопасности, сооружений с помощью деликатных приемов (разной высотой уровня, созданием зеленых кустовых ограждений и т.д.);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применение мощения вместо озеленения в случаях, когда отсутствует необходимость в ограждении ввиду небольшого объема зоны или архитектурных особенностей места;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использование многолетних всесезонных кустистых растений.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11. Общие требования к устройству озеленения: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расстояния между деревьями при высадке должны зависеть от видовых характеристик и быть не меньше ширины кроны высаживаемого дерева во взрослом состоянии;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при необходимости сохранения обзорности пространства (в районе пешеходных переходов) низ кроны дерева не должен быть ниже 2,5 метра от земли.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При выполнении озеленения вдоль проезжей части на визуально определяемом участке улицы должна осуществляться посадка деревьев одного вида, создающая общую линию в газоне либо в мощении, с выделением открытого участка вокруг ствола дерева диаметром не менее 1 метра.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При наличии технической возможности осуществляется посадка живой изгороди, предотвращающей выход пешеходов на проезжую часть в неустановленных местах.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12. При воздействии неблагоприятных техногенных и климатических факторов на различные территории города должны формироваться защитные насаждения.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Для защиты от ветра используются зеленые насаждения ажурной конструкции с вертикальной сомкнутостью полога 60 - 70%.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 xml:space="preserve">Шумозащитные насаждения выполняются в виде однорядных или многорядных рядовых посадок не ниже 7 метров, обеспечивая в ряду расстояние между стволами взрослых деревьев 8 - 10 метров (с широкой кроной), 5 - 6 метров (со средней кроной), 3 - 4 метра (с узкой кроной), </w:t>
      </w:r>
      <w:r>
        <w:lastRenderedPageBreak/>
        <w:t>подкроновое пространство заполняется рядами кустарника.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13. Не допускается наличие самовольно нанесенных надписей, рисунков на автомобильных дорогах.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 xml:space="preserve">14. Цветовое решение, материал, внешний облик малых архитектурных форм должен соответствовать проектной документации. Размещение малых архитектурных форм должно осуществляться с соблюдением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порядке согласования размещения малых архитектурных форм на территории города Красноярска, утвержденного Постановлением администрации города от 25.12.2015 N 830.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Основные требования к малым архитектурным формам: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стилистическое сочетание с архитектурным и ландшафтным окружением, объектами благоустройства территории;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прочность, надежность, безопасность конструкции;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защита от образования наледи и снежных заносов, обеспечение стока воды;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ремонтопригодность (возможность ремонта или замены деталей малых архитектурных форм);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сдержанное цветовое решение (использование натуральных цветов материалов, таких как дерево, камень, металл, оттенков серого, бежевого, коричневого);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антивандальная защищенность от разрушения, оклейки, нанесения надписей и изображений;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>удобство обслуживания, а также возможность механизированной и ручной очистки территории в месте размещения малых архитектурных форм.</w:t>
      </w:r>
    </w:p>
    <w:p w:rsidR="00C23105" w:rsidRDefault="00C23105">
      <w:pPr>
        <w:pStyle w:val="ConsPlusNormal"/>
        <w:spacing w:before="220"/>
        <w:ind w:firstLine="540"/>
        <w:jc w:val="both"/>
      </w:pPr>
      <w:r>
        <w:t xml:space="preserve">Для защиты от графического вандализма конструкции малых архитектурных форм следует выбирать или проектировать </w:t>
      </w:r>
      <w:proofErr w:type="gramStart"/>
      <w:r>
        <w:t>рельефными</w:t>
      </w:r>
      <w:proofErr w:type="gramEnd"/>
      <w:r>
        <w:t>, в том числе с использованием краски, содержащей рельефные частицы. Конструкции малых архитектурных форм изготавливаются из легко очищающихся, стойких к абразивным и растворяющим веществам материалов. На плоских поверхностях малых архитектурных форм следует применять перфорирование или рельефное текстурирование, которые мешают нанесению надписей, размещению объявлений, афиш, плакатов, графических изображений, иных информационных материалов и облегчают очистку.</w:t>
      </w:r>
    </w:p>
    <w:p w:rsidR="00C23105" w:rsidRDefault="00C23105">
      <w:pPr>
        <w:pStyle w:val="ConsPlusNormal"/>
        <w:jc w:val="both"/>
      </w:pPr>
    </w:p>
    <w:p w:rsidR="00C23105" w:rsidRDefault="00C23105">
      <w:pPr>
        <w:pStyle w:val="ConsPlusNormal"/>
        <w:jc w:val="both"/>
      </w:pPr>
    </w:p>
    <w:p w:rsidR="00C23105" w:rsidRDefault="00C23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D7D" w:rsidRDefault="00722D7D">
      <w:bookmarkStart w:id="1" w:name="_GoBack"/>
      <w:bookmarkEnd w:id="1"/>
    </w:p>
    <w:sectPr w:rsidR="00722D7D" w:rsidSect="0014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5"/>
    <w:rsid w:val="00722D7D"/>
    <w:rsid w:val="00C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2C6F877C6777FDF5619E46C6284064A195478B58DF6988742179A16D3D9AF1FD6A82889C39941133C50BDP0t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2C6F877C6777FDF5619E46C6284064A195478B58DF69A8442179A16D3D9AF1FD6A82889C39941133C51B1P0t4D" TargetMode="External"/><Relationship Id="rId12" Type="http://schemas.openxmlformats.org/officeDocument/2006/relationships/hyperlink" Target="consultantplus://offline/ref=9352C6F877C6777FDF5619E46C6284064A195478B582FB938541179A16D3D9AF1FD6A82889C39941133C53B8P0tCD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6F877C6777FDF5619E46C6284064A195478B58DF69C8446179A16D3D9AF1FD6A82889C39941153D54BEP0t6D" TargetMode="External"/><Relationship Id="rId11" Type="http://schemas.openxmlformats.org/officeDocument/2006/relationships/hyperlink" Target="consultantplus://offline/ref=9352C6F877C6777FDF5607E97A0EDB094B1A0E77BD86F5CDDB1211CD49P8t3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9352C6F877C6777FDF5619E46C6284064A195478B58DF6988742179A16D3D9AF1FD6A82889C39941133C57B0P0t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52C6F877C6777FDF5619E46C6284064A195478B58DF6988742179A16D3D9AF1FD6A82889C3994113P3t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021D8B-00ED-41B4-A38B-957739FEA361}"/>
</file>

<file path=customXml/itemProps2.xml><?xml version="1.0" encoding="utf-8"?>
<ds:datastoreItem xmlns:ds="http://schemas.openxmlformats.org/officeDocument/2006/customXml" ds:itemID="{37C9C5F6-139E-4029-A902-E2C219BB22DE}"/>
</file>

<file path=customXml/itemProps3.xml><?xml version="1.0" encoding="utf-8"?>
<ds:datastoreItem xmlns:ds="http://schemas.openxmlformats.org/officeDocument/2006/customXml" ds:itemID="{08C024B7-AFC7-42C4-9D7E-D71790815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2018-02-01T03:45:00Z</dcterms:created>
  <dcterms:modified xsi:type="dcterms:W3CDTF">2018-02-01T03:48:00Z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