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01" w:rsidRPr="00005DDF" w:rsidRDefault="00871301" w:rsidP="00871301">
      <w:pPr>
        <w:shd w:val="clear" w:color="auto" w:fill="FFFFFF"/>
        <w:spacing w:line="240" w:lineRule="auto"/>
        <w:outlineLvl w:val="0"/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b/>
          <w:color w:val="0033A0"/>
          <w:kern w:val="36"/>
          <w:sz w:val="24"/>
          <w:szCs w:val="24"/>
          <w:lang w:eastAsia="ru-RU"/>
        </w:rPr>
        <w:t>Квотирование рабочих мест для инвалидов</w:t>
      </w:r>
    </w:p>
    <w:p w:rsidR="00871301" w:rsidRPr="00005DDF" w:rsidRDefault="00871301" w:rsidP="00005DDF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proofErr w:type="gramStart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В соответствии со статьей 13.2 Закона РФ от 19.04.1991 № 1032-1 «О занятости населения в Российской Федерации», Законом Красноярского края от 29.01.2004 № 9-1712 «О квотировании рабочих мест для инвалидов» на работодателей, осуществляющих деятельность на территории края и состоящих на учете в налоговых органах Красноярского края, численность работников которых составляет не менее 35 человек, возложена обязанность создания (выделения) рабочих мест для трудоустройства</w:t>
      </w:r>
      <w:proofErr w:type="gramEnd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 инвалидов в соответствии с установленной квотой.</w:t>
      </w:r>
    </w:p>
    <w:p w:rsidR="00871301" w:rsidRPr="00005DDF" w:rsidRDefault="00871301" w:rsidP="0087130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b/>
          <w:bCs/>
          <w:color w:val="021531"/>
          <w:sz w:val="24"/>
          <w:szCs w:val="24"/>
          <w:lang w:eastAsia="ru-RU"/>
        </w:rPr>
        <w:t xml:space="preserve">Размер квот </w:t>
      </w: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 устанавливается в процентном отношении к среднесписочной численности работников, не включая тех работников, условия труда которых отнесены к вредным и (или) опасным условиям труда по результатам аттестации рабочих мест по условиям труда или результатам специальной оценки условий труда:</w:t>
      </w:r>
    </w:p>
    <w:p w:rsidR="00871301" w:rsidRPr="00005DDF" w:rsidRDefault="00871301" w:rsidP="00871301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для работодателей с численностью </w:t>
      </w: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от 35 до  2000</w:t>
      </w:r>
      <w:r w:rsidRPr="00005DDF">
        <w:rPr>
          <w:rFonts w:ascii="Verdana" w:eastAsia="Times New Roman" w:hAnsi="Verdana" w:cs="Segoe UI"/>
          <w:color w:val="0033A0"/>
          <w:sz w:val="24"/>
          <w:szCs w:val="24"/>
          <w:lang w:eastAsia="ru-RU"/>
        </w:rPr>
        <w:t> человек —</w:t>
      </w: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3%</w:t>
      </w:r>
      <w:r w:rsidRPr="00005DDF">
        <w:rPr>
          <w:rFonts w:ascii="Verdana" w:eastAsia="Times New Roman" w:hAnsi="Verdana" w:cs="Segoe UI"/>
          <w:color w:val="0033A0"/>
          <w:sz w:val="24"/>
          <w:szCs w:val="24"/>
          <w:lang w:eastAsia="ru-RU"/>
        </w:rPr>
        <w:t> от среднесписочной численности работников;</w:t>
      </w:r>
    </w:p>
    <w:p w:rsidR="00871301" w:rsidRPr="00005DDF" w:rsidRDefault="00871301" w:rsidP="0087130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для работодателей с численностью </w:t>
      </w: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свыше 2000</w:t>
      </w:r>
      <w:r w:rsidRPr="00005DDF">
        <w:rPr>
          <w:rFonts w:ascii="Verdana" w:eastAsia="Times New Roman" w:hAnsi="Verdana" w:cs="Segoe UI"/>
          <w:color w:val="0033A0"/>
          <w:sz w:val="24"/>
          <w:szCs w:val="24"/>
          <w:lang w:eastAsia="ru-RU"/>
        </w:rPr>
        <w:t xml:space="preserve"> человек  — </w:t>
      </w: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2%</w:t>
      </w:r>
      <w:r w:rsidRPr="00005DDF">
        <w:rPr>
          <w:rFonts w:ascii="Verdana" w:eastAsia="Times New Roman" w:hAnsi="Verdana" w:cs="Segoe UI"/>
          <w:color w:val="0033A0"/>
          <w:sz w:val="24"/>
          <w:szCs w:val="24"/>
          <w:lang w:eastAsia="ru-RU"/>
        </w:rPr>
        <w:t> от среднесписочной численности работников.</w:t>
      </w:r>
    </w:p>
    <w:p w:rsidR="00884992" w:rsidRPr="00005DDF" w:rsidRDefault="00884992" w:rsidP="0088499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</w:p>
    <w:p w:rsidR="00871301" w:rsidRPr="00005DDF" w:rsidRDefault="00871301" w:rsidP="0087130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Филиалам и представительствам работодателя устанавливается квота для приема на работу инвалидов в соответствии с законодательством субъектов РФ, на территориях которых они расположены, исходя из среднесписочной численности работников таких филиалов и представительств работодателя.</w:t>
      </w:r>
    </w:p>
    <w:p w:rsidR="00871301" w:rsidRPr="00005DDF" w:rsidRDefault="00871301" w:rsidP="0087130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Общественные объединения инвалидов и образованные ими организации, в том числе хозяйственные товарищества и общества, уставный (складочный) капитал которых состоит из вклада общественного объединения инвалидов,  не освобождаются от соблюдения установленной квоты для приема на работу инвалидов.</w:t>
      </w:r>
    </w:p>
    <w:p w:rsidR="00871301" w:rsidRPr="00005DDF" w:rsidRDefault="00871301" w:rsidP="0087130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В соответствии с Постановлением Правительства Российской Федерации от 14.03.2022 № 366 «Об утверждении правил выполнения работодателем квоты для приема на работу инвалидов при оформлении трудовых отношений с инвалидом на любое рабочее место»:</w:t>
      </w:r>
    </w:p>
    <w:p w:rsidR="00871301" w:rsidRPr="00005DDF" w:rsidRDefault="00871301" w:rsidP="0087130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квота для приема на работу инвалидов рассчитывается работодателем ежегодно, до  1  февраля, исходя из среднесписочной численности работников за IV квартал предыдущего года;</w:t>
      </w:r>
    </w:p>
    <w:p w:rsidR="00871301" w:rsidRPr="00005DDF" w:rsidRDefault="00871301" w:rsidP="00871301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при расчете квоты для приема на работу инвалидов округление дробного числа производится в сторону уменьшения до целого значения, в случае если размер рассчитанной квоты менее единицы, значение квоты принимается </w:t>
      </w:r>
      <w:proofErr w:type="gramStart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равным</w:t>
      </w:r>
      <w:proofErr w:type="gramEnd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 единице;</w:t>
      </w:r>
    </w:p>
    <w:p w:rsidR="00871301" w:rsidRPr="00005DDF" w:rsidRDefault="00871301" w:rsidP="0087130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lastRenderedPageBreak/>
        <w:t xml:space="preserve">квота для приема на работу инвалидов подлежит перерасчету в случае уменьшения среднесписочной численности работников за прошедший месяц, за исключением работников, условия </w:t>
      </w:r>
      <w:proofErr w:type="gramStart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труда</w:t>
      </w:r>
      <w:proofErr w:type="gramEnd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 на рабочих местах которых отнесены к вредным и (или) опасным условиям труда по результатам проведения специальной оценки условий труда, осуществляется работодателем с первого числа месяца, следующего за месяцем, в котором произошло изменение среднесписочной численности работников.</w:t>
      </w:r>
    </w:p>
    <w:p w:rsidR="00884992" w:rsidRPr="00005DDF" w:rsidRDefault="00884992" w:rsidP="0088499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</w:p>
    <w:p w:rsidR="00871301" w:rsidRPr="00005DDF" w:rsidRDefault="00871301" w:rsidP="0087130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 xml:space="preserve">Квота </w:t>
      </w:r>
      <w:proofErr w:type="gramStart"/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для приема на работу инвалидов</w:t>
      </w:r>
      <w:r w:rsidRPr="00005DDF">
        <w:rPr>
          <w:rFonts w:ascii="Verdana" w:eastAsia="Times New Roman" w:hAnsi="Verdana" w:cs="Segoe UI"/>
          <w:color w:val="0033A0"/>
          <w:sz w:val="24"/>
          <w:szCs w:val="24"/>
          <w:lang w:eastAsia="ru-RU"/>
        </w:rPr>
        <w:t> </w:t>
      </w: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при оформлении трудовых отношений с инвалидом на любое рабочее место</w:t>
      </w:r>
      <w:proofErr w:type="gramEnd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  </w:t>
      </w: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считается выполненной работодателем в случаях:</w:t>
      </w:r>
    </w:p>
    <w:p w:rsidR="00871301" w:rsidRPr="00005DDF" w:rsidRDefault="00871301" w:rsidP="00871301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наличия трудового договора (в том числе срочного) с инвалидом на рабочее место непосредственно у работодателя;</w:t>
      </w:r>
    </w:p>
    <w:p w:rsidR="00871301" w:rsidRPr="00005DDF" w:rsidRDefault="00871301" w:rsidP="008713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наличия трудового договора между инвалидом и организацией, индивидуальным предпринимателем, включая общественные объединения инвалидов и образованные ими организации, в том числе хозяйственные товарищества и общества, уставный (складочный) капитал которых состоит из вклада общественного объединения инвалидов, заключившие с иной организацией или индивидуальным предпринимателем соглашения о трудоустройстве инвалидов.</w:t>
      </w:r>
    </w:p>
    <w:p w:rsidR="00884992" w:rsidRPr="00005DDF" w:rsidRDefault="00884992" w:rsidP="00884992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</w:p>
    <w:p w:rsidR="00871301" w:rsidRPr="00005DDF" w:rsidRDefault="00871301" w:rsidP="0087130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proofErr w:type="gramStart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Согласно статьи 25 Закона РФ от 19.04.1991 № 1032–1 «О занятости населения в Российской Федерации» работодатели </w:t>
      </w:r>
      <w:r w:rsid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обязаны </w:t>
      </w: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ежемесячно</w:t>
      </w:r>
      <w:r w:rsidRPr="00005DDF">
        <w:rPr>
          <w:rFonts w:ascii="Verdana" w:eastAsia="Times New Roman" w:hAnsi="Verdana" w:cs="Segoe UI"/>
          <w:color w:val="0033A0"/>
          <w:sz w:val="24"/>
          <w:szCs w:val="24"/>
          <w:lang w:eastAsia="ru-RU"/>
        </w:rPr>
        <w:t> </w:t>
      </w: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представлять органам службы занятости информацию о созданных или выделенных рабочих местах для трудоустройства инвалидов в соответствии с установленной квотой для приема на работу инвалидов, включая информацию о локальных нормативных актах, содержащих сведения о данных рабочих местах, выполнении квоты для приема на работу инвалидов.</w:t>
      </w:r>
      <w:proofErr w:type="gramEnd"/>
    </w:p>
    <w:p w:rsidR="00871301" w:rsidRPr="00005DDF" w:rsidRDefault="00871301" w:rsidP="0087130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21531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Данную информацию необходимо предоставлять посредством размещения на  </w:t>
      </w:r>
      <w:hyperlink r:id="rId8" w:history="1">
        <w:r w:rsidRPr="00005DDF">
          <w:rPr>
            <w:rFonts w:ascii="Verdana" w:eastAsia="Times New Roman" w:hAnsi="Verdana" w:cs="Segoe UI"/>
            <w:color w:val="0033A0"/>
            <w:sz w:val="24"/>
            <w:szCs w:val="24"/>
            <w:lang w:eastAsia="ru-RU"/>
          </w:rPr>
          <w:t>единой цифровой платформе «Работа России»</w:t>
        </w:r>
      </w:hyperlink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 </w:t>
      </w:r>
      <w:r w:rsidRPr="00005DDF">
        <w:rPr>
          <w:rFonts w:ascii="Verdana" w:eastAsia="Times New Roman" w:hAnsi="Verdana" w:cs="Segoe UI"/>
          <w:b/>
          <w:bCs/>
          <w:color w:val="021531"/>
          <w:sz w:val="24"/>
          <w:szCs w:val="24"/>
          <w:lang w:eastAsia="ru-RU"/>
        </w:rPr>
        <w:t>ежемесячно </w:t>
      </w: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(в течение месяца, следующего </w:t>
      </w:r>
      <w:proofErr w:type="gramStart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за</w:t>
      </w:r>
      <w:proofErr w:type="gramEnd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 отчетным).</w:t>
      </w:r>
    </w:p>
    <w:p w:rsidR="00871301" w:rsidRPr="00005DDF" w:rsidRDefault="00871301" w:rsidP="00005DDF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0033A0"/>
          <w:sz w:val="24"/>
          <w:szCs w:val="24"/>
          <w:lang w:eastAsia="ru-RU"/>
        </w:rPr>
      </w:pPr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Дополнительную информацию можно получить в отделе социальной поддержки безработных </w:t>
      </w:r>
      <w:bookmarkStart w:id="0" w:name="_GoBack"/>
      <w:r w:rsidR="00827B08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 xml:space="preserve">КГКУ «ЦЗН г. Красноярска» </w:t>
      </w:r>
      <w:bookmarkEnd w:id="0"/>
      <w:r w:rsidRPr="00005DDF">
        <w:rPr>
          <w:rFonts w:ascii="Verdana" w:eastAsia="Times New Roman" w:hAnsi="Verdana" w:cs="Segoe UI"/>
          <w:color w:val="021531"/>
          <w:sz w:val="24"/>
          <w:szCs w:val="24"/>
          <w:lang w:eastAsia="ru-RU"/>
        </w:rPr>
        <w:t>по телефону </w:t>
      </w:r>
      <w:r w:rsidRPr="00005DDF">
        <w:rPr>
          <w:rFonts w:ascii="Verdana" w:eastAsia="Times New Roman" w:hAnsi="Verdana" w:cs="Segoe UI"/>
          <w:b/>
          <w:bCs/>
          <w:color w:val="0033A0"/>
          <w:sz w:val="24"/>
          <w:szCs w:val="24"/>
          <w:lang w:eastAsia="ru-RU"/>
        </w:rPr>
        <w:t>(391) 213-27-83.</w:t>
      </w:r>
    </w:p>
    <w:sectPr w:rsidR="00871301" w:rsidRPr="00005DDF" w:rsidSect="00005D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37" w:rsidRDefault="00E45A37" w:rsidP="00871301">
      <w:pPr>
        <w:spacing w:after="0" w:line="240" w:lineRule="auto"/>
      </w:pPr>
      <w:r>
        <w:separator/>
      </w:r>
    </w:p>
  </w:endnote>
  <w:endnote w:type="continuationSeparator" w:id="0">
    <w:p w:rsidR="00E45A37" w:rsidRDefault="00E45A37" w:rsidP="0087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37" w:rsidRDefault="00E45A37" w:rsidP="00871301">
      <w:pPr>
        <w:spacing w:after="0" w:line="240" w:lineRule="auto"/>
      </w:pPr>
      <w:r>
        <w:separator/>
      </w:r>
    </w:p>
  </w:footnote>
  <w:footnote w:type="continuationSeparator" w:id="0">
    <w:p w:rsidR="00E45A37" w:rsidRDefault="00E45A37" w:rsidP="0087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C8C"/>
    <w:multiLevelType w:val="multilevel"/>
    <w:tmpl w:val="FCD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85BD5"/>
    <w:multiLevelType w:val="multilevel"/>
    <w:tmpl w:val="A3EC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D1FE3"/>
    <w:multiLevelType w:val="multilevel"/>
    <w:tmpl w:val="FAF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C"/>
    <w:rsid w:val="00005DDF"/>
    <w:rsid w:val="00351B89"/>
    <w:rsid w:val="005C76BB"/>
    <w:rsid w:val="006149EC"/>
    <w:rsid w:val="00827B08"/>
    <w:rsid w:val="00871301"/>
    <w:rsid w:val="00884992"/>
    <w:rsid w:val="00944D70"/>
    <w:rsid w:val="00BB4458"/>
    <w:rsid w:val="00D53113"/>
    <w:rsid w:val="00E45A37"/>
    <w:rsid w:val="00E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301"/>
    <w:rPr>
      <w:b/>
      <w:bCs/>
    </w:rPr>
  </w:style>
  <w:style w:type="character" w:styleId="a5">
    <w:name w:val="Hyperlink"/>
    <w:basedOn w:val="a0"/>
    <w:uiPriority w:val="99"/>
    <w:semiHidden/>
    <w:unhideWhenUsed/>
    <w:rsid w:val="00871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301"/>
  </w:style>
  <w:style w:type="paragraph" w:styleId="a8">
    <w:name w:val="footer"/>
    <w:basedOn w:val="a"/>
    <w:link w:val="a9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301"/>
    <w:rPr>
      <w:b/>
      <w:bCs/>
    </w:rPr>
  </w:style>
  <w:style w:type="character" w:styleId="a5">
    <w:name w:val="Hyperlink"/>
    <w:basedOn w:val="a0"/>
    <w:uiPriority w:val="99"/>
    <w:semiHidden/>
    <w:unhideWhenUsed/>
    <w:rsid w:val="008713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301"/>
  </w:style>
  <w:style w:type="paragraph" w:styleId="a8">
    <w:name w:val="footer"/>
    <w:basedOn w:val="a"/>
    <w:link w:val="a9"/>
    <w:uiPriority w:val="99"/>
    <w:unhideWhenUsed/>
    <w:rsid w:val="0087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70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employer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3B5BA-1DDE-493B-BFCE-D29842A130C3}"/>
</file>

<file path=customXml/itemProps2.xml><?xml version="1.0" encoding="utf-8"?>
<ds:datastoreItem xmlns:ds="http://schemas.openxmlformats.org/officeDocument/2006/customXml" ds:itemID="{0FFC1A38-6AE6-4A6D-9D18-072704B74406}"/>
</file>

<file path=customXml/itemProps3.xml><?xml version="1.0" encoding="utf-8"?>
<ds:datastoreItem xmlns:ds="http://schemas.openxmlformats.org/officeDocument/2006/customXml" ds:itemID="{C8B732FD-AF29-49A3-ADF1-620D81D40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О. Лежепекова</dc:creator>
  <cp:lastModifiedBy>Надежда А. Донова</cp:lastModifiedBy>
  <cp:revision>6</cp:revision>
  <dcterms:created xsi:type="dcterms:W3CDTF">2022-11-03T03:01:00Z</dcterms:created>
  <dcterms:modified xsi:type="dcterms:W3CDTF">2022-11-08T10:03:00Z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