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7B" w:rsidRDefault="00215C7B" w:rsidP="00BB7FBA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color w:val="0033A0"/>
          <w:sz w:val="24"/>
          <w:szCs w:val="24"/>
          <w:lang w:eastAsia="ru-RU"/>
        </w:rPr>
      </w:pPr>
      <w:r>
        <w:rPr>
          <w:rFonts w:ascii="Verdana" w:hAnsi="Verdana"/>
          <w:b/>
          <w:color w:val="0033A0"/>
          <w:sz w:val="24"/>
          <w:szCs w:val="24"/>
          <w:lang w:eastAsia="ru-RU"/>
        </w:rPr>
        <w:t>Финансовая поддержка работодателей,</w:t>
      </w:r>
    </w:p>
    <w:p w:rsidR="00215C7B" w:rsidRDefault="00215C7B" w:rsidP="00215C7B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color w:val="0033A0"/>
          <w:sz w:val="24"/>
          <w:szCs w:val="24"/>
          <w:lang w:eastAsia="ru-RU"/>
        </w:rPr>
      </w:pPr>
      <w:r>
        <w:rPr>
          <w:rFonts w:ascii="Verdana" w:hAnsi="Verdana"/>
          <w:b/>
          <w:color w:val="0033A0"/>
          <w:sz w:val="24"/>
          <w:szCs w:val="24"/>
          <w:lang w:eastAsia="ru-RU"/>
        </w:rPr>
        <w:t xml:space="preserve">привлекающих специалистов из других регионов </w:t>
      </w:r>
    </w:p>
    <w:p w:rsidR="00215C7B" w:rsidRDefault="00215C7B" w:rsidP="00215C7B">
      <w:pPr>
        <w:shd w:val="clear" w:color="auto" w:fill="FFFFFF"/>
        <w:spacing w:after="0" w:line="240" w:lineRule="auto"/>
        <w:outlineLvl w:val="1"/>
        <w:rPr>
          <w:rFonts w:ascii="Verdana" w:hAnsi="Verdana"/>
          <w:b/>
          <w:color w:val="0033A0"/>
          <w:sz w:val="24"/>
          <w:szCs w:val="24"/>
          <w:lang w:eastAsia="ru-RU"/>
        </w:rPr>
      </w:pPr>
    </w:p>
    <w:p w:rsidR="00287046" w:rsidRPr="00287046" w:rsidRDefault="00AF5BD5" w:rsidP="00287046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В </w:t>
      </w:r>
      <w:r w:rsidR="00287046"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соответствии со </w:t>
      </w:r>
      <w:hyperlink r:id="rId6" w:history="1">
        <w:r w:rsidR="00287046" w:rsidRPr="00816FC0">
          <w:rPr>
            <w:rStyle w:val="a4"/>
            <w:rFonts w:ascii="Verdana" w:eastAsia="Times New Roman" w:hAnsi="Verdana" w:cs="Segoe UI"/>
            <w:sz w:val="24"/>
            <w:szCs w:val="24"/>
            <w:lang w:eastAsia="ru-RU"/>
          </w:rPr>
          <w:t>статьями 22.2, 22.3 Закона Российской Федерации «О занятости населения в Российской Федерации»</w:t>
        </w:r>
      </w:hyperlink>
      <w:bookmarkStart w:id="0" w:name="_GoBack"/>
      <w:bookmarkEnd w:id="0"/>
      <w:r w:rsidR="00287046" w:rsidRPr="00287046">
        <w:rPr>
          <w:rFonts w:ascii="Verdana" w:eastAsia="Times New Roman" w:hAnsi="Verdana" w:cs="Segoe UI"/>
          <w:color w:val="0033A0"/>
          <w:sz w:val="24"/>
          <w:szCs w:val="24"/>
          <w:lang w:eastAsia="ru-RU"/>
        </w:rPr>
        <w:t xml:space="preserve"> </w:t>
      </w:r>
      <w:r w:rsidR="00287046" w:rsidRPr="00287046"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  <w:t>предусмотрена финансовая поддержка работодателей</w:t>
      </w:r>
      <w:r w:rsidR="00287046"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 при привлечении на постоянную работу квалифицированных работников из других регионов Российской Федерации на рабочие места, которые не могут быть заполнены местными трудовыми ресурсами.</w:t>
      </w:r>
    </w:p>
    <w:p w:rsidR="00287046" w:rsidRPr="00287046" w:rsidRDefault="00287046" w:rsidP="00E83BE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  <w:t>Размер финансовой поддержки составляет </w:t>
      </w:r>
      <w:r w:rsidRPr="00E869D6">
        <w:rPr>
          <w:rFonts w:ascii="Verdana" w:eastAsia="Times New Roman" w:hAnsi="Verdana" w:cs="Segoe UI"/>
          <w:b/>
          <w:bCs/>
          <w:color w:val="0033A0"/>
          <w:sz w:val="24"/>
          <w:szCs w:val="24"/>
          <w:lang w:eastAsia="ru-RU"/>
        </w:rPr>
        <w:t>225 тысяч рублей</w:t>
      </w:r>
      <w:r w:rsidRPr="00287046"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  <w:t> на одного работника.</w:t>
      </w: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 Средства могут расходоваться на любые меры поддержки привлекаемых из других регионов работников:</w:t>
      </w:r>
    </w:p>
    <w:p w:rsidR="00287046" w:rsidRPr="00287046" w:rsidRDefault="00287046" w:rsidP="00215C7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компенсация затрат на проезд к месту работы работника и членов его семьи;</w:t>
      </w:r>
    </w:p>
    <w:p w:rsidR="00287046" w:rsidRPr="00287046" w:rsidRDefault="00287046" w:rsidP="00E83B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оплата доставки багажа работника и членов его семьи;</w:t>
      </w:r>
    </w:p>
    <w:p w:rsidR="00287046" w:rsidRPr="00287046" w:rsidRDefault="00287046" w:rsidP="00215C7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компенсация затрат, связанных с предоставлением работнику, а также членам его семьи жилья (в том числе предоставление ведомственного жилья, </w:t>
      </w:r>
      <w:proofErr w:type="spellStart"/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найм</w:t>
      </w:r>
      <w:proofErr w:type="spellEnd"/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 или приобретение жилья, в том числе по договору ипотечного кредитования);</w:t>
      </w:r>
    </w:p>
    <w:p w:rsidR="00287046" w:rsidRPr="00287046" w:rsidRDefault="00287046" w:rsidP="00E83B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выплаты работнику на обустройство;</w:t>
      </w:r>
    </w:p>
    <w:p w:rsidR="00287046" w:rsidRPr="00287046" w:rsidRDefault="00287046" w:rsidP="00215C7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единовременная выплата работнику в связи с переездом из другого субъекта РФ и трудоустройством в рамках программы:</w:t>
      </w:r>
    </w:p>
    <w:p w:rsidR="00287046" w:rsidRPr="00287046" w:rsidRDefault="00287046" w:rsidP="00215C7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компенсация затрат на обучение работника (профессиональная подготовка, переподготовка, повышение квалификации), в том числе для получения необходимых компетенций перед трудоустройством;</w:t>
      </w:r>
    </w:p>
    <w:p w:rsidR="00287046" w:rsidRPr="00287046" w:rsidRDefault="00287046" w:rsidP="00E83B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оплата проезда работника до места учебы и обратно;</w:t>
      </w:r>
    </w:p>
    <w:p w:rsidR="00287046" w:rsidRPr="00287046" w:rsidRDefault="00287046" w:rsidP="00215C7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оплата пребывания в дошкольной образовательной организации и обучения детей работника в образовательных организациях;</w:t>
      </w:r>
    </w:p>
    <w:p w:rsidR="00287046" w:rsidRPr="00287046" w:rsidRDefault="00287046" w:rsidP="00215C7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оплата расходов (в том числе командировочных расходов работника) на прохождение работником независимой оценки квалификации на соответствие положениям профессионального стандарта или квалификационным требованиям, установленным федеральными законами и иными нормативными правовыми актами Российской Федерации;</w:t>
      </w:r>
    </w:p>
    <w:p w:rsidR="00287046" w:rsidRDefault="00287046" w:rsidP="00215C7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предоставление работнику дополнительного социального пакета (оплата полиса добровольного медицинского страхования, оплата питания в течение рабочего дня и иные меры поддержки).</w:t>
      </w:r>
    </w:p>
    <w:p w:rsidR="00E83BE2" w:rsidRPr="00287046" w:rsidRDefault="00E83BE2" w:rsidP="00E83BE2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</w:p>
    <w:p w:rsidR="00287046" w:rsidRPr="00287046" w:rsidRDefault="00287046" w:rsidP="00287046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021531"/>
          <w:sz w:val="24"/>
          <w:szCs w:val="24"/>
          <w:u w:val="single"/>
          <w:lang w:eastAsia="ru-RU"/>
        </w:rPr>
      </w:pPr>
      <w:r w:rsidRPr="00287046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Финансирование не распространяется на работников, привлеченных из 20 территории, входящих в Перечень регионов приоритетного привлечения трудовых ресурсов, утвержденный</w:t>
      </w: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 </w:t>
      </w:r>
      <w:hyperlink r:id="rId7" w:history="1">
        <w:r w:rsidRPr="00BB7FBA">
          <w:rPr>
            <w:rFonts w:ascii="Verdana" w:eastAsia="Times New Roman" w:hAnsi="Verdana" w:cs="Segoe UI"/>
            <w:color w:val="CF4520"/>
            <w:sz w:val="24"/>
            <w:szCs w:val="24"/>
            <w:u w:val="single"/>
            <w:lang w:eastAsia="ru-RU"/>
          </w:rPr>
          <w:t>Распоряжением Правительства РФ от 20.04.2015 № 696-р.</w:t>
        </w:r>
      </w:hyperlink>
    </w:p>
    <w:p w:rsidR="00FE11E4" w:rsidRDefault="00FE11E4" w:rsidP="00287046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b/>
          <w:color w:val="021531"/>
          <w:sz w:val="24"/>
          <w:szCs w:val="24"/>
          <w:lang w:eastAsia="ru-RU"/>
        </w:rPr>
      </w:pPr>
    </w:p>
    <w:p w:rsidR="00287046" w:rsidRPr="00287046" w:rsidRDefault="00287046" w:rsidP="00BB7FBA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b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b/>
          <w:color w:val="021531"/>
          <w:sz w:val="24"/>
          <w:szCs w:val="24"/>
          <w:lang w:eastAsia="ru-RU"/>
        </w:rPr>
        <w:t>Нормативные документы:</w:t>
      </w:r>
    </w:p>
    <w:p w:rsidR="00287046" w:rsidRPr="00287046" w:rsidRDefault="00816FC0" w:rsidP="00BB7FB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300" w:line="240" w:lineRule="auto"/>
        <w:ind w:left="0" w:firstLine="360"/>
        <w:jc w:val="both"/>
        <w:rPr>
          <w:rFonts w:ascii="Verdana" w:eastAsia="Times New Roman" w:hAnsi="Verdana" w:cs="Segoe UI"/>
          <w:color w:val="0033A0"/>
          <w:sz w:val="24"/>
          <w:szCs w:val="24"/>
          <w:u w:val="single"/>
          <w:lang w:eastAsia="ru-RU"/>
        </w:rPr>
      </w:pPr>
      <w:hyperlink r:id="rId8" w:history="1">
        <w:r w:rsidR="00287046" w:rsidRPr="00BB7FBA">
          <w:rPr>
            <w:rFonts w:ascii="Verdana" w:eastAsia="Times New Roman" w:hAnsi="Verdana" w:cs="Segoe UI"/>
            <w:color w:val="0033A0"/>
            <w:sz w:val="24"/>
            <w:szCs w:val="24"/>
            <w:u w:val="single"/>
            <w:lang w:eastAsia="ru-RU"/>
          </w:rPr>
          <w:t>Постановление Правительства Красноярского края от 16.11.2018 № 678-п «Об утверждении Порядка и критериев отбора работодателей, подлежащих включению в региональную программу повышения мобильности трудовых ресурсов»;</w:t>
        </w:r>
      </w:hyperlink>
    </w:p>
    <w:p w:rsidR="00287046" w:rsidRPr="00287046" w:rsidRDefault="00287046" w:rsidP="00BB7FB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30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u w:val="single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lastRenderedPageBreak/>
        <w:t>Форма соглашения об участии в программе, утвержденная </w:t>
      </w:r>
      <w:hyperlink r:id="rId9" w:history="1">
        <w:r w:rsidRPr="00BB7FBA">
          <w:rPr>
            <w:rFonts w:ascii="Verdana" w:eastAsia="Times New Roman" w:hAnsi="Verdana" w:cs="Segoe UI"/>
            <w:color w:val="0033A0"/>
            <w:sz w:val="24"/>
            <w:szCs w:val="24"/>
            <w:u w:val="single"/>
            <w:lang w:eastAsia="ru-RU"/>
          </w:rPr>
          <w:t>Приказом агентства труда и занятости населения Красноярского края от 16.11.2015 № 93-298;</w:t>
        </w:r>
      </w:hyperlink>
    </w:p>
    <w:p w:rsidR="00287046" w:rsidRPr="00287046" w:rsidRDefault="00287046" w:rsidP="00BB7FB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30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Порядок предоставления сертификата на привлечение трудовых ресурсов, утвержденный </w:t>
      </w:r>
      <w:hyperlink r:id="rId10" w:tgtFrame="_blank" w:history="1">
        <w:r w:rsidRPr="00BB7FBA">
          <w:rPr>
            <w:rFonts w:ascii="Verdana" w:eastAsia="Times New Roman" w:hAnsi="Verdana" w:cs="Segoe UI"/>
            <w:color w:val="0033A0"/>
            <w:sz w:val="24"/>
            <w:szCs w:val="24"/>
            <w:u w:val="single"/>
            <w:lang w:eastAsia="ru-RU"/>
          </w:rPr>
          <w:t>приказом Минтруда России от 17.04.2019 № 261н</w:t>
        </w:r>
      </w:hyperlink>
      <w:r w:rsidRPr="00287046">
        <w:rPr>
          <w:rFonts w:ascii="Verdana" w:eastAsia="Times New Roman" w:hAnsi="Verdana" w:cs="Segoe UI"/>
          <w:color w:val="0033A0"/>
          <w:sz w:val="24"/>
          <w:szCs w:val="24"/>
          <w:u w:val="single"/>
          <w:lang w:eastAsia="ru-RU"/>
        </w:rPr>
        <w:t>;</w:t>
      </w:r>
    </w:p>
    <w:p w:rsidR="00287046" w:rsidRPr="00287046" w:rsidRDefault="00287046" w:rsidP="00BB7FB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Verdana" w:eastAsia="Times New Roman" w:hAnsi="Verdana" w:cs="Segoe UI"/>
          <w:color w:val="021531"/>
          <w:sz w:val="24"/>
          <w:szCs w:val="24"/>
          <w:u w:val="single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Порядок предоставления работодателям финансовой поддержки, предусмотренной сертификатом на привлечение трудовых ресурсов, утвержденный </w:t>
      </w:r>
      <w:hyperlink r:id="rId11" w:tgtFrame="_blank" w:history="1">
        <w:r w:rsidRPr="00BB7FBA">
          <w:rPr>
            <w:rFonts w:ascii="Verdana" w:eastAsia="Times New Roman" w:hAnsi="Verdana" w:cs="Segoe UI"/>
            <w:color w:val="0033A0"/>
            <w:sz w:val="24"/>
            <w:szCs w:val="24"/>
            <w:u w:val="single"/>
            <w:lang w:eastAsia="ru-RU"/>
          </w:rPr>
          <w:t>Постановлением Правительства Красноярского края от 20.01.2016 № 20-п</w:t>
        </w:r>
      </w:hyperlink>
      <w:hyperlink r:id="rId12" w:history="1">
        <w:r w:rsidRPr="00BB7FBA">
          <w:rPr>
            <w:rFonts w:ascii="Verdana" w:eastAsia="Times New Roman" w:hAnsi="Verdana" w:cs="Segoe UI"/>
            <w:color w:val="0033A0"/>
            <w:sz w:val="24"/>
            <w:szCs w:val="24"/>
            <w:u w:val="single"/>
            <w:lang w:eastAsia="ru-RU"/>
          </w:rPr>
          <w:t>.</w:t>
        </w:r>
      </w:hyperlink>
    </w:p>
    <w:p w:rsidR="00FE11E4" w:rsidRDefault="00FE11E4" w:rsidP="00287046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</w:p>
    <w:p w:rsidR="00287046" w:rsidRPr="00287046" w:rsidRDefault="00287046" w:rsidP="00287046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Дополнительную информацию можно получить в Центре занятости населения города Красноярска по телефону </w:t>
      </w:r>
      <w:r w:rsidRPr="00FE11E4">
        <w:rPr>
          <w:rFonts w:ascii="Verdana" w:eastAsia="Times New Roman" w:hAnsi="Verdana" w:cs="Segoe UI"/>
          <w:b/>
          <w:bCs/>
          <w:color w:val="0033A0"/>
          <w:sz w:val="24"/>
          <w:szCs w:val="24"/>
          <w:lang w:eastAsia="ru-RU"/>
        </w:rPr>
        <w:t>(391) 265-48-29.</w:t>
      </w:r>
    </w:p>
    <w:p w:rsidR="00287046" w:rsidRPr="00287046" w:rsidRDefault="00287046" w:rsidP="00287046">
      <w:pPr>
        <w:shd w:val="clear" w:color="auto" w:fill="FFFFFF"/>
        <w:spacing w:after="195" w:line="240" w:lineRule="auto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  <w:r w:rsidRPr="00287046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 </w:t>
      </w:r>
    </w:p>
    <w:p w:rsidR="0063204B" w:rsidRDefault="0063204B"/>
    <w:sectPr w:rsidR="0063204B" w:rsidSect="00BB7FBA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3A51"/>
    <w:multiLevelType w:val="multilevel"/>
    <w:tmpl w:val="ED10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384B92"/>
    <w:multiLevelType w:val="multilevel"/>
    <w:tmpl w:val="AB3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C0"/>
    <w:rsid w:val="00201C7D"/>
    <w:rsid w:val="00215C7B"/>
    <w:rsid w:val="00287046"/>
    <w:rsid w:val="0063204B"/>
    <w:rsid w:val="007B1D77"/>
    <w:rsid w:val="00816FC0"/>
    <w:rsid w:val="009214C0"/>
    <w:rsid w:val="00A63E58"/>
    <w:rsid w:val="00AF5BD5"/>
    <w:rsid w:val="00BB7FBA"/>
    <w:rsid w:val="00E30BF6"/>
    <w:rsid w:val="00E83BE2"/>
    <w:rsid w:val="00E869D6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7046"/>
    <w:rPr>
      <w:color w:val="0000FF"/>
      <w:u w:val="single"/>
    </w:rPr>
  </w:style>
  <w:style w:type="character" w:styleId="a5">
    <w:name w:val="Strong"/>
    <w:basedOn w:val="a0"/>
    <w:uiPriority w:val="22"/>
    <w:qFormat/>
    <w:rsid w:val="002870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7046"/>
    <w:rPr>
      <w:color w:val="0000FF"/>
      <w:u w:val="single"/>
    </w:rPr>
  </w:style>
  <w:style w:type="character" w:styleId="a5">
    <w:name w:val="Strong"/>
    <w:basedOn w:val="a0"/>
    <w:uiPriority w:val="22"/>
    <w:qFormat/>
    <w:rsid w:val="00287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7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czn.ru/uploads/files/678-p-16112018-251021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asczn.ru/uploads/files/696-r-20042015-090622.pdf" TargetMode="External"/><Relationship Id="rId12" Type="http://schemas.openxmlformats.org/officeDocument/2006/relationships/hyperlink" Target="http://krasczn.ru/upload/files/Pravitelstva-Krasnoyarskogo-kraya-20-p-ot-20_01_2016.pdf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trud.krskstate.ru/cms_data/usercontent/regionaleditor/&#1076;&#1086;&#1082;&#1091;&#1084;&#1077;&#1085;&#1090;&#1099;%202023/&#1086;&#1090;&#1076;&#1077;&#1083;%20&#1080;&#1089;&#1080;&#1087;/&#1092;&#1077;&#1074;&#1088;&#1072;&#1083;&#1100;/&#1089;&#1090;.22.2,%2022.3%20&#1079;&#1072;&#1082;&#1086;&#1085;&#1072;%20&#1088;&#1092;%20&#1086;%20&#1079;&#1072;&#1085;&#1103;&#1090;&#1086;&#1089;&#1090;&#1080;%20(&#1088;&#1077;&#1076;%20&#1086;&#1090;%2028.12.2022).docx" TargetMode="External"/><Relationship Id="rId11" Type="http://schemas.openxmlformats.org/officeDocument/2006/relationships/hyperlink" Target="https://krasczn.ru/uploads/files/20-p-ot-20.01.16-11.01.23.pdf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krasczn.ru/uploads/files/261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sczn.ru/uploads/files/93-298-16112015-12052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D0DC22-7B6C-46DE-8228-F8ED8F669589}"/>
</file>

<file path=customXml/itemProps2.xml><?xml version="1.0" encoding="utf-8"?>
<ds:datastoreItem xmlns:ds="http://schemas.openxmlformats.org/officeDocument/2006/customXml" ds:itemID="{61592070-4B2E-4152-99F5-C98AC5240442}"/>
</file>

<file path=customXml/itemProps3.xml><?xml version="1.0" encoding="utf-8"?>
<ds:datastoreItem xmlns:ds="http://schemas.openxmlformats.org/officeDocument/2006/customXml" ds:itemID="{ECE5515A-75CC-413F-9CBB-99BEBAC9C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Э. Зотова</dc:creator>
  <cp:keywords/>
  <dc:description/>
  <cp:lastModifiedBy>Мария Э. Зотова</cp:lastModifiedBy>
  <cp:revision>4</cp:revision>
  <dcterms:created xsi:type="dcterms:W3CDTF">2023-04-03T05:33:00Z</dcterms:created>
  <dcterms:modified xsi:type="dcterms:W3CDTF">2023-04-03T08:14:00Z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