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471" w:rsidRDefault="00F04471">
      <w:pPr>
        <w:pStyle w:val="ConsPlusTitlePage"/>
      </w:pPr>
      <w:r>
        <w:t xml:space="preserve">Документ предоставлен </w:t>
      </w:r>
      <w:hyperlink r:id="rId5">
        <w:r>
          <w:rPr>
            <w:color w:val="0000FF"/>
          </w:rPr>
          <w:t>КонсультантПлюс</w:t>
        </w:r>
      </w:hyperlink>
      <w:r>
        <w:br/>
      </w:r>
    </w:p>
    <w:p w:rsidR="00F04471" w:rsidRDefault="00F04471">
      <w:pPr>
        <w:pStyle w:val="ConsPlusNormal"/>
        <w:jc w:val="both"/>
        <w:outlineLvl w:val="0"/>
      </w:pPr>
    </w:p>
    <w:p w:rsidR="00F04471" w:rsidRDefault="00F04471">
      <w:pPr>
        <w:pStyle w:val="ConsPlusTitle"/>
        <w:jc w:val="center"/>
        <w:outlineLvl w:val="0"/>
      </w:pPr>
      <w:r>
        <w:t>АДМИНИСТРАЦИЯ ГОРОДА КРАСНОЯРСКА</w:t>
      </w:r>
    </w:p>
    <w:p w:rsidR="00F04471" w:rsidRDefault="00F04471">
      <w:pPr>
        <w:pStyle w:val="ConsPlusTitle"/>
        <w:jc w:val="center"/>
      </w:pPr>
    </w:p>
    <w:p w:rsidR="00F04471" w:rsidRDefault="00F04471">
      <w:pPr>
        <w:pStyle w:val="ConsPlusTitle"/>
        <w:jc w:val="center"/>
      </w:pPr>
      <w:r>
        <w:t>ПОСТАНОВЛЕНИЕ</w:t>
      </w:r>
    </w:p>
    <w:p w:rsidR="00F04471" w:rsidRDefault="00F04471">
      <w:pPr>
        <w:pStyle w:val="ConsPlusTitle"/>
        <w:jc w:val="center"/>
      </w:pPr>
      <w:r>
        <w:t>от 9 апреля 2021 г. N 242</w:t>
      </w:r>
    </w:p>
    <w:p w:rsidR="00F04471" w:rsidRDefault="00F04471">
      <w:pPr>
        <w:pStyle w:val="ConsPlusTitle"/>
        <w:jc w:val="center"/>
      </w:pPr>
    </w:p>
    <w:p w:rsidR="00F04471" w:rsidRDefault="00F04471">
      <w:pPr>
        <w:pStyle w:val="ConsPlusTitle"/>
        <w:jc w:val="center"/>
      </w:pPr>
      <w:r>
        <w:t>ОБ УТВЕРЖДЕНИИ ПОРЯДКА ПРИНЯТИЯ РЕШЕНИЙ О ЗАКЛЮЧЕНИИ</w:t>
      </w:r>
    </w:p>
    <w:p w:rsidR="00F04471" w:rsidRDefault="00F04471">
      <w:pPr>
        <w:pStyle w:val="ConsPlusTitle"/>
        <w:jc w:val="center"/>
      </w:pPr>
      <w:r>
        <w:t>ОТ ИМЕНИ МУНИЦИПАЛЬНОГО ОБРАЗОВАНИЯ ГОРОДА КРАСНОЯРСКА</w:t>
      </w:r>
    </w:p>
    <w:p w:rsidR="00F04471" w:rsidRDefault="00F04471">
      <w:pPr>
        <w:pStyle w:val="ConsPlusTitle"/>
        <w:jc w:val="center"/>
      </w:pPr>
      <w:r>
        <w:t>КОНЦЕССИОННЫХ СОГЛАШЕНИЙ НА СРОК, ПРЕВЫШАЮЩИЙ СРОК ДЕЙСТВИЯ</w:t>
      </w:r>
    </w:p>
    <w:p w:rsidR="00F04471" w:rsidRDefault="00F04471">
      <w:pPr>
        <w:pStyle w:val="ConsPlusTitle"/>
        <w:jc w:val="center"/>
      </w:pPr>
      <w:r>
        <w:t>УТВЕРЖДЕННЫХ ЛИМИТОВ БЮДЖЕТНЫХ ОБЯЗАТЕЛЬСТВ</w:t>
      </w:r>
    </w:p>
    <w:p w:rsidR="00F04471" w:rsidRDefault="00F044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44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471" w:rsidRDefault="00F044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4471" w:rsidRDefault="00F044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4471" w:rsidRDefault="00F04471">
            <w:pPr>
              <w:pStyle w:val="ConsPlusNormal"/>
              <w:jc w:val="center"/>
            </w:pPr>
            <w:r>
              <w:rPr>
                <w:color w:val="392C69"/>
              </w:rPr>
              <w:t>Список изменяющих документов</w:t>
            </w:r>
          </w:p>
          <w:p w:rsidR="00F04471" w:rsidRDefault="00F04471">
            <w:pPr>
              <w:pStyle w:val="ConsPlusNormal"/>
              <w:jc w:val="center"/>
            </w:pPr>
            <w:r>
              <w:rPr>
                <w:color w:val="392C69"/>
              </w:rPr>
              <w:t xml:space="preserve">(в ред. </w:t>
            </w:r>
            <w:hyperlink r:id="rId6">
              <w:r>
                <w:rPr>
                  <w:color w:val="0000FF"/>
                </w:rPr>
                <w:t>Постановления</w:t>
              </w:r>
            </w:hyperlink>
            <w:r>
              <w:rPr>
                <w:color w:val="392C69"/>
              </w:rPr>
              <w:t xml:space="preserve"> администрации г. Красноярска от 16.02.2023 N 106)</w:t>
            </w:r>
          </w:p>
        </w:tc>
        <w:tc>
          <w:tcPr>
            <w:tcW w:w="113" w:type="dxa"/>
            <w:tcBorders>
              <w:top w:val="nil"/>
              <w:left w:val="nil"/>
              <w:bottom w:val="nil"/>
              <w:right w:val="nil"/>
            </w:tcBorders>
            <w:shd w:val="clear" w:color="auto" w:fill="F4F3F8"/>
            <w:tcMar>
              <w:top w:w="0" w:type="dxa"/>
              <w:left w:w="0" w:type="dxa"/>
              <w:bottom w:w="0" w:type="dxa"/>
              <w:right w:w="0" w:type="dxa"/>
            </w:tcMar>
          </w:tcPr>
          <w:p w:rsidR="00F04471" w:rsidRDefault="00F04471">
            <w:pPr>
              <w:pStyle w:val="ConsPlusNormal"/>
            </w:pPr>
          </w:p>
        </w:tc>
      </w:tr>
    </w:tbl>
    <w:p w:rsidR="00F04471" w:rsidRDefault="00F04471">
      <w:pPr>
        <w:pStyle w:val="ConsPlusNormal"/>
        <w:jc w:val="both"/>
      </w:pPr>
    </w:p>
    <w:p w:rsidR="00F04471" w:rsidRDefault="00F04471">
      <w:pPr>
        <w:pStyle w:val="ConsPlusNormal"/>
        <w:ind w:firstLine="540"/>
        <w:jc w:val="both"/>
      </w:pPr>
      <w:r>
        <w:t xml:space="preserve">В соответствии с </w:t>
      </w:r>
      <w:hyperlink r:id="rId7">
        <w:r>
          <w:rPr>
            <w:color w:val="0000FF"/>
          </w:rPr>
          <w:t>пунктом 9 статьи 78</w:t>
        </w:r>
      </w:hyperlink>
      <w:r>
        <w:t xml:space="preserve"> Бюджетного кодекса Российской Федерации, руководствуясь </w:t>
      </w:r>
      <w:hyperlink r:id="rId8">
        <w:r>
          <w:rPr>
            <w:color w:val="0000FF"/>
          </w:rPr>
          <w:t>статьями 41</w:t>
        </w:r>
      </w:hyperlink>
      <w:r>
        <w:t xml:space="preserve">, </w:t>
      </w:r>
      <w:hyperlink r:id="rId9">
        <w:r>
          <w:rPr>
            <w:color w:val="0000FF"/>
          </w:rPr>
          <w:t>58</w:t>
        </w:r>
      </w:hyperlink>
      <w:r>
        <w:t xml:space="preserve">, </w:t>
      </w:r>
      <w:hyperlink r:id="rId10">
        <w:r>
          <w:rPr>
            <w:color w:val="0000FF"/>
          </w:rPr>
          <w:t>59</w:t>
        </w:r>
      </w:hyperlink>
      <w:r>
        <w:t xml:space="preserve"> Устава города Красноярска, постановляю:</w:t>
      </w:r>
    </w:p>
    <w:p w:rsidR="00F04471" w:rsidRDefault="00F04471">
      <w:pPr>
        <w:pStyle w:val="ConsPlusNormal"/>
        <w:spacing w:before="220"/>
        <w:ind w:firstLine="540"/>
        <w:jc w:val="both"/>
      </w:pPr>
      <w:r>
        <w:t xml:space="preserve">1. Утвердить </w:t>
      </w:r>
      <w:hyperlink w:anchor="P30">
        <w:r>
          <w:rPr>
            <w:color w:val="0000FF"/>
          </w:rPr>
          <w:t>Порядок</w:t>
        </w:r>
      </w:hyperlink>
      <w:r>
        <w:t xml:space="preserve"> принятия решений о заключении от имени муниципального образования города Красноярска концессионных соглашений на срок, превышающий срок действия утвержденных лимитов бюджетных обязательств, согласно приложению.</w:t>
      </w:r>
    </w:p>
    <w:p w:rsidR="00F04471" w:rsidRDefault="00F04471">
      <w:pPr>
        <w:pStyle w:val="ConsPlusNormal"/>
        <w:spacing w:before="220"/>
        <w:ind w:firstLine="540"/>
        <w:jc w:val="both"/>
      </w:pPr>
      <w:r>
        <w:t>2. Настоящее Постановление опубликовать в газете "Городские новости" и разместить на официальном сайте администрации города.</w:t>
      </w:r>
    </w:p>
    <w:p w:rsidR="00F04471" w:rsidRDefault="00F04471">
      <w:pPr>
        <w:pStyle w:val="ConsPlusNormal"/>
        <w:spacing w:before="220"/>
        <w:ind w:firstLine="540"/>
        <w:jc w:val="both"/>
      </w:pPr>
      <w:r>
        <w:t>3. Настоящее Постановление вступает в силу со дня его официального опубликования.</w:t>
      </w:r>
    </w:p>
    <w:p w:rsidR="00F04471" w:rsidRDefault="00F04471">
      <w:pPr>
        <w:pStyle w:val="ConsPlusNormal"/>
        <w:jc w:val="both"/>
      </w:pPr>
    </w:p>
    <w:p w:rsidR="00F04471" w:rsidRDefault="00F04471">
      <w:pPr>
        <w:pStyle w:val="ConsPlusNormal"/>
        <w:jc w:val="right"/>
      </w:pPr>
      <w:r>
        <w:t>Глава города</w:t>
      </w:r>
    </w:p>
    <w:p w:rsidR="00F04471" w:rsidRDefault="00F04471">
      <w:pPr>
        <w:pStyle w:val="ConsPlusNormal"/>
        <w:jc w:val="right"/>
      </w:pPr>
      <w:r>
        <w:t>С.В.ЕРЕМИН</w:t>
      </w:r>
    </w:p>
    <w:p w:rsidR="00F04471" w:rsidRDefault="00F04471">
      <w:pPr>
        <w:pStyle w:val="ConsPlusNormal"/>
        <w:jc w:val="both"/>
      </w:pPr>
    </w:p>
    <w:p w:rsidR="00F04471" w:rsidRDefault="00F04471">
      <w:pPr>
        <w:pStyle w:val="ConsPlusNormal"/>
        <w:jc w:val="both"/>
      </w:pPr>
    </w:p>
    <w:p w:rsidR="00F04471" w:rsidRDefault="00F04471">
      <w:pPr>
        <w:pStyle w:val="ConsPlusNormal"/>
        <w:jc w:val="both"/>
      </w:pPr>
    </w:p>
    <w:p w:rsidR="00F04471" w:rsidRDefault="00F04471">
      <w:pPr>
        <w:pStyle w:val="ConsPlusNormal"/>
        <w:jc w:val="both"/>
      </w:pPr>
    </w:p>
    <w:p w:rsidR="00F04471" w:rsidRDefault="00F04471">
      <w:pPr>
        <w:pStyle w:val="ConsPlusNormal"/>
        <w:jc w:val="both"/>
      </w:pPr>
    </w:p>
    <w:p w:rsidR="00F04471" w:rsidRDefault="00F04471">
      <w:pPr>
        <w:pStyle w:val="ConsPlusNormal"/>
        <w:jc w:val="right"/>
        <w:outlineLvl w:val="0"/>
      </w:pPr>
      <w:r>
        <w:t>Приложение</w:t>
      </w:r>
    </w:p>
    <w:p w:rsidR="00F04471" w:rsidRDefault="00F04471">
      <w:pPr>
        <w:pStyle w:val="ConsPlusNormal"/>
        <w:jc w:val="right"/>
      </w:pPr>
      <w:r>
        <w:t>к Постановлению</w:t>
      </w:r>
    </w:p>
    <w:p w:rsidR="00F04471" w:rsidRDefault="00F04471">
      <w:pPr>
        <w:pStyle w:val="ConsPlusNormal"/>
        <w:jc w:val="right"/>
      </w:pPr>
      <w:r>
        <w:t>администрации города</w:t>
      </w:r>
    </w:p>
    <w:p w:rsidR="00F04471" w:rsidRDefault="00F04471">
      <w:pPr>
        <w:pStyle w:val="ConsPlusNormal"/>
        <w:jc w:val="right"/>
      </w:pPr>
      <w:r>
        <w:t>от 9 апреля 2021 г. N 242</w:t>
      </w:r>
    </w:p>
    <w:p w:rsidR="00F04471" w:rsidRDefault="00F04471">
      <w:pPr>
        <w:pStyle w:val="ConsPlusNormal"/>
        <w:jc w:val="both"/>
      </w:pPr>
    </w:p>
    <w:p w:rsidR="00F04471" w:rsidRDefault="00F04471">
      <w:pPr>
        <w:pStyle w:val="ConsPlusTitle"/>
        <w:jc w:val="center"/>
      </w:pPr>
      <w:bookmarkStart w:id="0" w:name="P30"/>
      <w:bookmarkEnd w:id="0"/>
      <w:r>
        <w:t>ПОРЯДОК</w:t>
      </w:r>
    </w:p>
    <w:p w:rsidR="00F04471" w:rsidRDefault="00F04471">
      <w:pPr>
        <w:pStyle w:val="ConsPlusTitle"/>
        <w:jc w:val="center"/>
      </w:pPr>
      <w:r>
        <w:t>ПРИНЯТИЯ РЕШЕНИЙ О ЗАКЛЮЧЕНИИ ОТ ИМЕНИ МУНИЦИПАЛЬНОГО</w:t>
      </w:r>
    </w:p>
    <w:p w:rsidR="00F04471" w:rsidRDefault="00F04471">
      <w:pPr>
        <w:pStyle w:val="ConsPlusTitle"/>
        <w:jc w:val="center"/>
      </w:pPr>
      <w:r>
        <w:t>ОБРАЗОВАНИЯ ГОРОДА КРАСНОЯРСКА КОНЦЕССИОННЫХ СОГЛАШЕНИЙ</w:t>
      </w:r>
    </w:p>
    <w:p w:rsidR="00F04471" w:rsidRDefault="00F04471">
      <w:pPr>
        <w:pStyle w:val="ConsPlusTitle"/>
        <w:jc w:val="center"/>
      </w:pPr>
      <w:r>
        <w:t>НА СРОК, ПРЕВЫШАЮЩИЙ СРОК ДЕЙСТВИЯ УТВЕРЖДЕННЫХ ЛИМИТОВ</w:t>
      </w:r>
    </w:p>
    <w:p w:rsidR="00F04471" w:rsidRDefault="00F04471">
      <w:pPr>
        <w:pStyle w:val="ConsPlusTitle"/>
        <w:jc w:val="center"/>
      </w:pPr>
      <w:r>
        <w:t>БЮДЖЕТНЫХ ОБЯЗАТЕЛЬСТВ</w:t>
      </w:r>
    </w:p>
    <w:p w:rsidR="00F04471" w:rsidRDefault="00F044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44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471" w:rsidRDefault="00F044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4471" w:rsidRDefault="00F044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4471" w:rsidRDefault="00F04471">
            <w:pPr>
              <w:pStyle w:val="ConsPlusNormal"/>
              <w:jc w:val="center"/>
            </w:pPr>
            <w:r>
              <w:rPr>
                <w:color w:val="392C69"/>
              </w:rPr>
              <w:t>Список изменяющих документов</w:t>
            </w:r>
          </w:p>
          <w:p w:rsidR="00F04471" w:rsidRDefault="00F04471">
            <w:pPr>
              <w:pStyle w:val="ConsPlusNormal"/>
              <w:jc w:val="center"/>
            </w:pPr>
            <w:r>
              <w:rPr>
                <w:color w:val="392C69"/>
              </w:rPr>
              <w:t xml:space="preserve">(в ред. </w:t>
            </w:r>
            <w:hyperlink r:id="rId11">
              <w:r>
                <w:rPr>
                  <w:color w:val="0000FF"/>
                </w:rPr>
                <w:t>Постановления</w:t>
              </w:r>
            </w:hyperlink>
            <w:r>
              <w:rPr>
                <w:color w:val="392C69"/>
              </w:rPr>
              <w:t xml:space="preserve"> администрации г. Красноярска от 16.02.2023 N 106)</w:t>
            </w:r>
          </w:p>
        </w:tc>
        <w:tc>
          <w:tcPr>
            <w:tcW w:w="113" w:type="dxa"/>
            <w:tcBorders>
              <w:top w:val="nil"/>
              <w:left w:val="nil"/>
              <w:bottom w:val="nil"/>
              <w:right w:val="nil"/>
            </w:tcBorders>
            <w:shd w:val="clear" w:color="auto" w:fill="F4F3F8"/>
            <w:tcMar>
              <w:top w:w="0" w:type="dxa"/>
              <w:left w:w="0" w:type="dxa"/>
              <w:bottom w:w="0" w:type="dxa"/>
              <w:right w:w="0" w:type="dxa"/>
            </w:tcMar>
          </w:tcPr>
          <w:p w:rsidR="00F04471" w:rsidRDefault="00F04471">
            <w:pPr>
              <w:pStyle w:val="ConsPlusNormal"/>
            </w:pPr>
          </w:p>
        </w:tc>
      </w:tr>
    </w:tbl>
    <w:p w:rsidR="00F04471" w:rsidRDefault="00F04471">
      <w:pPr>
        <w:pStyle w:val="ConsPlusNormal"/>
        <w:jc w:val="both"/>
      </w:pPr>
    </w:p>
    <w:p w:rsidR="00F04471" w:rsidRDefault="00F04471">
      <w:pPr>
        <w:pStyle w:val="ConsPlusNormal"/>
        <w:ind w:firstLine="540"/>
        <w:jc w:val="both"/>
      </w:pPr>
      <w:r>
        <w:t>1. Настоящий Порядок определяет правила принятия решений о заключении концессионных соглашений от имени муниципального образования города Красноярска на срок, превышающий срок действия утвержденных лимитов бюджетных обязательств (далее - Порядок).</w:t>
      </w:r>
    </w:p>
    <w:p w:rsidR="00F04471" w:rsidRDefault="00F04471">
      <w:pPr>
        <w:pStyle w:val="ConsPlusNormal"/>
        <w:spacing w:before="220"/>
        <w:ind w:firstLine="540"/>
        <w:jc w:val="both"/>
      </w:pPr>
      <w:r>
        <w:lastRenderedPageBreak/>
        <w:t xml:space="preserve">2. </w:t>
      </w:r>
      <w:proofErr w:type="gramStart"/>
      <w:r>
        <w:t>Концессионные соглашения, концедентом по которым выступает муниципальное образование город Красноярск, могут быть заключены на срок, превышающий срок действия утвержденных получателю средств бюджета города лимитов бюджетных обязательств, на основании решений администрации города о заключении концессионных соглашений, принимаемых в соответствии с законодательством Российской Федерации о концессионных соглашениях, в рамках мероприятий муниципальных программ города Красноярска на срок и в объеме средств в части</w:t>
      </w:r>
      <w:proofErr w:type="gramEnd"/>
      <w:r>
        <w:t xml:space="preserve">, </w:t>
      </w:r>
      <w:proofErr w:type="gramStart"/>
      <w:r>
        <w:t>касающейся</w:t>
      </w:r>
      <w:proofErr w:type="gramEnd"/>
      <w:r>
        <w:t xml:space="preserve"> бюджета города (без учета средств межбюджетных трансфертов из вышестоящих бюджетов), которые предусмотрены соответствующими мероприятиями указанных программ.</w:t>
      </w:r>
    </w:p>
    <w:p w:rsidR="00F04471" w:rsidRDefault="00F04471">
      <w:pPr>
        <w:pStyle w:val="ConsPlusNormal"/>
        <w:jc w:val="both"/>
      </w:pPr>
      <w:r>
        <w:t xml:space="preserve">(п. 2 в ред. </w:t>
      </w:r>
      <w:hyperlink r:id="rId12">
        <w:r>
          <w:rPr>
            <w:color w:val="0000FF"/>
          </w:rPr>
          <w:t>Постановления</w:t>
        </w:r>
      </w:hyperlink>
      <w:r>
        <w:t xml:space="preserve"> администрации г. Красноярска от 16.02.2023 N 106)</w:t>
      </w:r>
    </w:p>
    <w:p w:rsidR="00F04471" w:rsidRDefault="00F04471">
      <w:pPr>
        <w:pStyle w:val="ConsPlusNormal"/>
        <w:spacing w:before="220"/>
        <w:ind w:firstLine="540"/>
        <w:jc w:val="both"/>
      </w:pPr>
      <w:r>
        <w:t xml:space="preserve">3. </w:t>
      </w:r>
      <w:proofErr w:type="gramStart"/>
      <w:r>
        <w:t>В случае если предполагаемый срок действия концессионного соглашения, заключаемого в рамках мероприятий муниципальной программы города Красноярска, превышает срок реализации указанной программы, такое концессионное соглашение может быть заключено на основании решения администрации города о заключении концессионного соглашения, принимаемого в соответствии с законодательством Российской Федерации о концессионных соглашениях, на срок и в объеме средств в части, касающейся бюджета города (без учета средств</w:t>
      </w:r>
      <w:proofErr w:type="gramEnd"/>
      <w:r>
        <w:t xml:space="preserve"> межбюджетных трансфертов из вышестоящих бюджетов), предусмотренных правовым актом администрации города.</w:t>
      </w:r>
    </w:p>
    <w:p w:rsidR="00F04471" w:rsidRDefault="00F04471">
      <w:pPr>
        <w:pStyle w:val="ConsPlusNormal"/>
        <w:jc w:val="both"/>
      </w:pPr>
      <w:r>
        <w:t xml:space="preserve">(п. 3 в ред. </w:t>
      </w:r>
      <w:hyperlink r:id="rId13">
        <w:r>
          <w:rPr>
            <w:color w:val="0000FF"/>
          </w:rPr>
          <w:t>Постановления</w:t>
        </w:r>
      </w:hyperlink>
      <w:r>
        <w:t xml:space="preserve"> администрации г. Красноярска от 16.02.2023 N 106)</w:t>
      </w:r>
    </w:p>
    <w:p w:rsidR="00F04471" w:rsidRDefault="00F04471">
      <w:pPr>
        <w:pStyle w:val="ConsPlusNormal"/>
        <w:spacing w:before="220"/>
        <w:ind w:firstLine="540"/>
        <w:jc w:val="both"/>
      </w:pPr>
      <w:bookmarkStart w:id="1" w:name="P43"/>
      <w:bookmarkEnd w:id="1"/>
      <w:r>
        <w:t xml:space="preserve">4. </w:t>
      </w:r>
      <w:proofErr w:type="gramStart"/>
      <w:r>
        <w:t xml:space="preserve">Ответственный исполнитель муниципальной программы, в рамках которой предусматривается мероприятие по реализации концессионного соглашения, осуществляет подготовку соответствующего проекта правового акта администрации города в целях принятия решения о заключении от имени муниципального образования города Красноярска концессионного соглашения на срок, превышающий срок действия утвержденных лимитов бюджетных обязательств, с разбивкой по объектам, годам и главным распорядителям средств бюджета города по форме согласно </w:t>
      </w:r>
      <w:hyperlink w:anchor="P64">
        <w:r>
          <w:rPr>
            <w:color w:val="0000FF"/>
          </w:rPr>
          <w:t>приложению</w:t>
        </w:r>
      </w:hyperlink>
      <w:r>
        <w:t xml:space="preserve"> к</w:t>
      </w:r>
      <w:proofErr w:type="gramEnd"/>
      <w:r>
        <w:t xml:space="preserve"> настоящему Порядку.</w:t>
      </w:r>
    </w:p>
    <w:p w:rsidR="00F04471" w:rsidRDefault="00F04471">
      <w:pPr>
        <w:pStyle w:val="ConsPlusNormal"/>
        <w:spacing w:before="220"/>
        <w:ind w:firstLine="540"/>
        <w:jc w:val="both"/>
      </w:pPr>
      <w:r>
        <w:t xml:space="preserve">5. Проект правового акта администрации города, указанный в </w:t>
      </w:r>
      <w:hyperlink w:anchor="P43">
        <w:r>
          <w:rPr>
            <w:color w:val="0000FF"/>
          </w:rPr>
          <w:t>пункте 4</w:t>
        </w:r>
      </w:hyperlink>
      <w:r>
        <w:t xml:space="preserve"> настоящего Порядка, представляется на согласование в порядке, установленном Регламентом администрации города Красноярска.</w:t>
      </w:r>
    </w:p>
    <w:p w:rsidR="00F04471" w:rsidRDefault="00F04471">
      <w:pPr>
        <w:pStyle w:val="ConsPlusNormal"/>
        <w:jc w:val="both"/>
      </w:pPr>
    </w:p>
    <w:p w:rsidR="00F04471" w:rsidRDefault="00F04471">
      <w:pPr>
        <w:pStyle w:val="ConsPlusNormal"/>
        <w:jc w:val="both"/>
      </w:pPr>
    </w:p>
    <w:p w:rsidR="00F04471" w:rsidRDefault="00F04471">
      <w:pPr>
        <w:pStyle w:val="ConsPlusNormal"/>
        <w:jc w:val="both"/>
      </w:pPr>
    </w:p>
    <w:p w:rsidR="00F04471" w:rsidRDefault="00F04471">
      <w:pPr>
        <w:pStyle w:val="ConsPlusNormal"/>
        <w:jc w:val="both"/>
      </w:pPr>
    </w:p>
    <w:p w:rsidR="00F04471" w:rsidRDefault="00F04471">
      <w:pPr>
        <w:pStyle w:val="ConsPlusNormal"/>
        <w:jc w:val="both"/>
      </w:pPr>
    </w:p>
    <w:p w:rsidR="00F04471" w:rsidRDefault="00F04471">
      <w:pPr>
        <w:pStyle w:val="ConsPlusNormal"/>
        <w:jc w:val="right"/>
        <w:outlineLvl w:val="1"/>
      </w:pPr>
      <w:r>
        <w:t>Приложение</w:t>
      </w:r>
    </w:p>
    <w:p w:rsidR="00F04471" w:rsidRDefault="00F04471">
      <w:pPr>
        <w:pStyle w:val="ConsPlusNormal"/>
        <w:jc w:val="right"/>
      </w:pPr>
      <w:r>
        <w:t>к Порядку</w:t>
      </w:r>
    </w:p>
    <w:p w:rsidR="00F04471" w:rsidRDefault="00F04471">
      <w:pPr>
        <w:pStyle w:val="ConsPlusNormal"/>
        <w:jc w:val="right"/>
      </w:pPr>
      <w:r>
        <w:t>принятия решений</w:t>
      </w:r>
    </w:p>
    <w:p w:rsidR="00F04471" w:rsidRDefault="00F04471">
      <w:pPr>
        <w:pStyle w:val="ConsPlusNormal"/>
        <w:jc w:val="right"/>
      </w:pPr>
      <w:r>
        <w:t>о заключении от имени</w:t>
      </w:r>
    </w:p>
    <w:p w:rsidR="00F04471" w:rsidRDefault="00F04471">
      <w:pPr>
        <w:pStyle w:val="ConsPlusNormal"/>
        <w:jc w:val="right"/>
      </w:pPr>
      <w:r>
        <w:t>муниципального образования</w:t>
      </w:r>
    </w:p>
    <w:p w:rsidR="00F04471" w:rsidRDefault="00F04471">
      <w:pPr>
        <w:pStyle w:val="ConsPlusNormal"/>
        <w:jc w:val="right"/>
      </w:pPr>
      <w:r>
        <w:t>города Красноярска</w:t>
      </w:r>
    </w:p>
    <w:p w:rsidR="00F04471" w:rsidRDefault="00F04471">
      <w:pPr>
        <w:pStyle w:val="ConsPlusNormal"/>
        <w:jc w:val="right"/>
      </w:pPr>
      <w:r>
        <w:t>концессионных соглашений</w:t>
      </w:r>
    </w:p>
    <w:p w:rsidR="00F04471" w:rsidRDefault="00F04471">
      <w:pPr>
        <w:pStyle w:val="ConsPlusNormal"/>
        <w:jc w:val="right"/>
      </w:pPr>
      <w:r>
        <w:t>на срок, превышающий</w:t>
      </w:r>
    </w:p>
    <w:p w:rsidR="00F04471" w:rsidRDefault="00F04471">
      <w:pPr>
        <w:pStyle w:val="ConsPlusNormal"/>
        <w:jc w:val="right"/>
      </w:pPr>
      <w:r>
        <w:t>срок действия</w:t>
      </w:r>
    </w:p>
    <w:p w:rsidR="00F04471" w:rsidRDefault="00F04471">
      <w:pPr>
        <w:pStyle w:val="ConsPlusNormal"/>
        <w:jc w:val="right"/>
      </w:pPr>
      <w:r>
        <w:t>утвержденных лимитов</w:t>
      </w:r>
    </w:p>
    <w:p w:rsidR="00F04471" w:rsidRDefault="00F04471">
      <w:pPr>
        <w:pStyle w:val="ConsPlusNormal"/>
        <w:jc w:val="right"/>
      </w:pPr>
      <w:r>
        <w:t>бюджетных обязательств</w:t>
      </w:r>
    </w:p>
    <w:p w:rsidR="00F04471" w:rsidRDefault="00F044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44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471" w:rsidRDefault="00F044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04471" w:rsidRDefault="00F044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04471" w:rsidRDefault="00F04471">
            <w:pPr>
              <w:pStyle w:val="ConsPlusNormal"/>
              <w:jc w:val="center"/>
            </w:pPr>
            <w:r>
              <w:rPr>
                <w:color w:val="392C69"/>
              </w:rPr>
              <w:t>Список изменяющих документов</w:t>
            </w:r>
          </w:p>
          <w:p w:rsidR="00F04471" w:rsidRDefault="00F04471">
            <w:pPr>
              <w:pStyle w:val="ConsPlusNormal"/>
              <w:jc w:val="center"/>
            </w:pPr>
            <w:r>
              <w:rPr>
                <w:color w:val="392C69"/>
              </w:rPr>
              <w:t xml:space="preserve">(в ред. </w:t>
            </w:r>
            <w:hyperlink r:id="rId14">
              <w:r>
                <w:rPr>
                  <w:color w:val="0000FF"/>
                </w:rPr>
                <w:t>Постановления</w:t>
              </w:r>
            </w:hyperlink>
            <w:r>
              <w:rPr>
                <w:color w:val="392C69"/>
              </w:rPr>
              <w:t xml:space="preserve"> администрации г. Красноярска от 16.02.2023 N 106)</w:t>
            </w:r>
          </w:p>
        </w:tc>
        <w:tc>
          <w:tcPr>
            <w:tcW w:w="113" w:type="dxa"/>
            <w:tcBorders>
              <w:top w:val="nil"/>
              <w:left w:val="nil"/>
              <w:bottom w:val="nil"/>
              <w:right w:val="nil"/>
            </w:tcBorders>
            <w:shd w:val="clear" w:color="auto" w:fill="F4F3F8"/>
            <w:tcMar>
              <w:top w:w="0" w:type="dxa"/>
              <w:left w:w="0" w:type="dxa"/>
              <w:bottom w:w="0" w:type="dxa"/>
              <w:right w:w="0" w:type="dxa"/>
            </w:tcMar>
          </w:tcPr>
          <w:p w:rsidR="00F04471" w:rsidRDefault="00F04471">
            <w:pPr>
              <w:pStyle w:val="ConsPlusNormal"/>
            </w:pPr>
          </w:p>
        </w:tc>
      </w:tr>
    </w:tbl>
    <w:p w:rsidR="00F04471" w:rsidRDefault="00F04471">
      <w:pPr>
        <w:pStyle w:val="ConsPlusNormal"/>
        <w:jc w:val="both"/>
      </w:pPr>
    </w:p>
    <w:p w:rsidR="00F04471" w:rsidRDefault="00F04471">
      <w:pPr>
        <w:pStyle w:val="ConsPlusNormal"/>
        <w:jc w:val="center"/>
      </w:pPr>
      <w:bookmarkStart w:id="2" w:name="P64"/>
      <w:bookmarkEnd w:id="2"/>
      <w:proofErr w:type="gramStart"/>
      <w:r>
        <w:t>Объем средств бюджета города (без учета средств межбюджетных</w:t>
      </w:r>
      <w:proofErr w:type="gramEnd"/>
    </w:p>
    <w:p w:rsidR="00F04471" w:rsidRDefault="00F04471">
      <w:pPr>
        <w:pStyle w:val="ConsPlusNormal"/>
        <w:jc w:val="center"/>
      </w:pPr>
      <w:r>
        <w:lastRenderedPageBreak/>
        <w:t>трансфертов из вышестоящих бюджетов) на реализацию</w:t>
      </w:r>
    </w:p>
    <w:p w:rsidR="00F04471" w:rsidRDefault="00F04471">
      <w:pPr>
        <w:pStyle w:val="ConsPlusNormal"/>
        <w:jc w:val="center"/>
      </w:pPr>
      <w:r>
        <w:t>концессионного соглашения</w:t>
      </w:r>
    </w:p>
    <w:p w:rsidR="00F04471" w:rsidRDefault="00F04471">
      <w:pPr>
        <w:pStyle w:val="ConsPlusNormal"/>
        <w:jc w:val="center"/>
      </w:pPr>
      <w:r>
        <w:t>____________________________________________</w:t>
      </w:r>
    </w:p>
    <w:p w:rsidR="00F04471" w:rsidRDefault="00F04471">
      <w:pPr>
        <w:pStyle w:val="ConsPlusNormal"/>
        <w:jc w:val="center"/>
      </w:pPr>
      <w:r>
        <w:t>(наименование концессионного соглашения)</w:t>
      </w:r>
    </w:p>
    <w:p w:rsidR="00F04471" w:rsidRDefault="00F04471">
      <w:pPr>
        <w:pStyle w:val="ConsPlusNormal"/>
        <w:jc w:val="both"/>
      </w:pPr>
    </w:p>
    <w:p w:rsidR="00F04471" w:rsidRDefault="00F04471">
      <w:pPr>
        <w:pStyle w:val="ConsPlusNormal"/>
        <w:sectPr w:rsidR="00F04471" w:rsidSect="00DB035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89"/>
        <w:gridCol w:w="1789"/>
        <w:gridCol w:w="1399"/>
        <w:gridCol w:w="754"/>
        <w:gridCol w:w="979"/>
        <w:gridCol w:w="844"/>
        <w:gridCol w:w="829"/>
        <w:gridCol w:w="1204"/>
        <w:gridCol w:w="340"/>
        <w:gridCol w:w="529"/>
        <w:gridCol w:w="1624"/>
      </w:tblGrid>
      <w:tr w:rsidR="00F04471">
        <w:tc>
          <w:tcPr>
            <w:tcW w:w="1789" w:type="dxa"/>
            <w:vMerge w:val="restart"/>
          </w:tcPr>
          <w:p w:rsidR="00F04471" w:rsidRDefault="00F04471">
            <w:pPr>
              <w:pStyle w:val="ConsPlusNormal"/>
              <w:jc w:val="center"/>
            </w:pPr>
            <w:r>
              <w:lastRenderedPageBreak/>
              <w:t>Объект концессионного соглашения</w:t>
            </w:r>
          </w:p>
        </w:tc>
        <w:tc>
          <w:tcPr>
            <w:tcW w:w="1789" w:type="dxa"/>
            <w:vMerge w:val="restart"/>
          </w:tcPr>
          <w:p w:rsidR="00F04471" w:rsidRDefault="00F04471">
            <w:pPr>
              <w:pStyle w:val="ConsPlusNormal"/>
              <w:jc w:val="center"/>
            </w:pPr>
            <w:r>
              <w:t>Этапы реализации концессионного соглашения</w:t>
            </w:r>
          </w:p>
        </w:tc>
        <w:tc>
          <w:tcPr>
            <w:tcW w:w="1399" w:type="dxa"/>
            <w:vMerge w:val="restart"/>
          </w:tcPr>
          <w:p w:rsidR="00F04471" w:rsidRDefault="00F04471">
            <w:pPr>
              <w:pStyle w:val="ConsPlusNormal"/>
              <w:jc w:val="center"/>
            </w:pPr>
            <w:r>
              <w:t>Предельный срок реализации</w:t>
            </w:r>
          </w:p>
        </w:tc>
        <w:tc>
          <w:tcPr>
            <w:tcW w:w="5479" w:type="dxa"/>
            <w:gridSpan w:val="7"/>
          </w:tcPr>
          <w:p w:rsidR="00F04471" w:rsidRDefault="00F04471">
            <w:pPr>
              <w:pStyle w:val="ConsPlusNormal"/>
              <w:jc w:val="center"/>
            </w:pPr>
            <w:r>
              <w:t>Объем средств бюджета города (без учета средств межбюджетных трансфертов из вышестоящих бюджетов) на реализацию концессионного соглашения с разбивкой по годам, руб.</w:t>
            </w:r>
          </w:p>
        </w:tc>
        <w:tc>
          <w:tcPr>
            <w:tcW w:w="1624" w:type="dxa"/>
            <w:vMerge w:val="restart"/>
          </w:tcPr>
          <w:p w:rsidR="00F04471" w:rsidRDefault="00F04471">
            <w:pPr>
              <w:pStyle w:val="ConsPlusNormal"/>
              <w:jc w:val="center"/>
            </w:pPr>
            <w:r>
              <w:t>Главный распорядитель средств бюджета города</w:t>
            </w:r>
          </w:p>
        </w:tc>
      </w:tr>
      <w:tr w:rsidR="00F04471">
        <w:tc>
          <w:tcPr>
            <w:tcW w:w="1789" w:type="dxa"/>
            <w:vMerge/>
          </w:tcPr>
          <w:p w:rsidR="00F04471" w:rsidRDefault="00F04471">
            <w:pPr>
              <w:pStyle w:val="ConsPlusNormal"/>
            </w:pPr>
          </w:p>
        </w:tc>
        <w:tc>
          <w:tcPr>
            <w:tcW w:w="1789" w:type="dxa"/>
            <w:vMerge/>
          </w:tcPr>
          <w:p w:rsidR="00F04471" w:rsidRDefault="00F04471">
            <w:pPr>
              <w:pStyle w:val="ConsPlusNormal"/>
            </w:pPr>
          </w:p>
        </w:tc>
        <w:tc>
          <w:tcPr>
            <w:tcW w:w="1399" w:type="dxa"/>
            <w:vMerge/>
          </w:tcPr>
          <w:p w:rsidR="00F04471" w:rsidRDefault="00F04471">
            <w:pPr>
              <w:pStyle w:val="ConsPlusNormal"/>
            </w:pPr>
          </w:p>
        </w:tc>
        <w:tc>
          <w:tcPr>
            <w:tcW w:w="754" w:type="dxa"/>
          </w:tcPr>
          <w:p w:rsidR="00F04471" w:rsidRDefault="00F04471">
            <w:pPr>
              <w:pStyle w:val="ConsPlusNormal"/>
              <w:jc w:val="center"/>
            </w:pPr>
            <w:r>
              <w:t>всего, в том числе:</w:t>
            </w:r>
          </w:p>
        </w:tc>
        <w:tc>
          <w:tcPr>
            <w:tcW w:w="979" w:type="dxa"/>
          </w:tcPr>
          <w:p w:rsidR="00F04471" w:rsidRDefault="00F04471">
            <w:pPr>
              <w:pStyle w:val="ConsPlusNormal"/>
              <w:jc w:val="center"/>
            </w:pPr>
            <w:r>
              <w:t>текущий год</w:t>
            </w:r>
          </w:p>
        </w:tc>
        <w:tc>
          <w:tcPr>
            <w:tcW w:w="844" w:type="dxa"/>
          </w:tcPr>
          <w:p w:rsidR="00F04471" w:rsidRDefault="00F04471">
            <w:pPr>
              <w:pStyle w:val="ConsPlusNormal"/>
              <w:jc w:val="center"/>
            </w:pPr>
            <w:r>
              <w:t>второй год</w:t>
            </w:r>
          </w:p>
        </w:tc>
        <w:tc>
          <w:tcPr>
            <w:tcW w:w="829" w:type="dxa"/>
          </w:tcPr>
          <w:p w:rsidR="00F04471" w:rsidRDefault="00F04471">
            <w:pPr>
              <w:pStyle w:val="ConsPlusNormal"/>
              <w:jc w:val="center"/>
            </w:pPr>
            <w:r>
              <w:t>третий год</w:t>
            </w:r>
          </w:p>
        </w:tc>
        <w:tc>
          <w:tcPr>
            <w:tcW w:w="1204" w:type="dxa"/>
          </w:tcPr>
          <w:p w:rsidR="00F04471" w:rsidRDefault="00F04471">
            <w:pPr>
              <w:pStyle w:val="ConsPlusNormal"/>
              <w:jc w:val="center"/>
            </w:pPr>
            <w:r>
              <w:t>четвертый год</w:t>
            </w:r>
          </w:p>
        </w:tc>
        <w:tc>
          <w:tcPr>
            <w:tcW w:w="340" w:type="dxa"/>
          </w:tcPr>
          <w:p w:rsidR="00F04471" w:rsidRDefault="00F04471">
            <w:pPr>
              <w:pStyle w:val="ConsPlusNormal"/>
              <w:jc w:val="center"/>
            </w:pPr>
            <w:r>
              <w:t>...</w:t>
            </w:r>
          </w:p>
        </w:tc>
        <w:tc>
          <w:tcPr>
            <w:tcW w:w="529" w:type="dxa"/>
          </w:tcPr>
          <w:p w:rsidR="00F04471" w:rsidRDefault="00F04471">
            <w:pPr>
              <w:pStyle w:val="ConsPlusNormal"/>
              <w:jc w:val="center"/>
            </w:pPr>
            <w:r>
              <w:t>N-й год</w:t>
            </w:r>
          </w:p>
        </w:tc>
        <w:tc>
          <w:tcPr>
            <w:tcW w:w="1624" w:type="dxa"/>
            <w:vMerge/>
          </w:tcPr>
          <w:p w:rsidR="00F04471" w:rsidRDefault="00F04471">
            <w:pPr>
              <w:pStyle w:val="ConsPlusNormal"/>
            </w:pPr>
          </w:p>
        </w:tc>
      </w:tr>
      <w:tr w:rsidR="00F04471">
        <w:tc>
          <w:tcPr>
            <w:tcW w:w="1789" w:type="dxa"/>
          </w:tcPr>
          <w:p w:rsidR="00F04471" w:rsidRDefault="00F04471">
            <w:pPr>
              <w:pStyle w:val="ConsPlusNormal"/>
              <w:jc w:val="center"/>
            </w:pPr>
            <w:r>
              <w:t>1</w:t>
            </w:r>
          </w:p>
        </w:tc>
        <w:tc>
          <w:tcPr>
            <w:tcW w:w="1789" w:type="dxa"/>
          </w:tcPr>
          <w:p w:rsidR="00F04471" w:rsidRDefault="00F04471">
            <w:pPr>
              <w:pStyle w:val="ConsPlusNormal"/>
              <w:jc w:val="center"/>
            </w:pPr>
            <w:r>
              <w:t>2</w:t>
            </w:r>
          </w:p>
        </w:tc>
        <w:tc>
          <w:tcPr>
            <w:tcW w:w="1399" w:type="dxa"/>
          </w:tcPr>
          <w:p w:rsidR="00F04471" w:rsidRDefault="00F04471">
            <w:pPr>
              <w:pStyle w:val="ConsPlusNormal"/>
              <w:jc w:val="center"/>
            </w:pPr>
            <w:r>
              <w:t>3</w:t>
            </w:r>
          </w:p>
        </w:tc>
        <w:tc>
          <w:tcPr>
            <w:tcW w:w="754" w:type="dxa"/>
          </w:tcPr>
          <w:p w:rsidR="00F04471" w:rsidRDefault="00F04471">
            <w:pPr>
              <w:pStyle w:val="ConsPlusNormal"/>
              <w:jc w:val="center"/>
            </w:pPr>
            <w:r>
              <w:t>4</w:t>
            </w:r>
          </w:p>
        </w:tc>
        <w:tc>
          <w:tcPr>
            <w:tcW w:w="979" w:type="dxa"/>
          </w:tcPr>
          <w:p w:rsidR="00F04471" w:rsidRDefault="00F04471">
            <w:pPr>
              <w:pStyle w:val="ConsPlusNormal"/>
              <w:jc w:val="center"/>
            </w:pPr>
            <w:r>
              <w:t>5</w:t>
            </w:r>
          </w:p>
        </w:tc>
        <w:tc>
          <w:tcPr>
            <w:tcW w:w="844" w:type="dxa"/>
          </w:tcPr>
          <w:p w:rsidR="00F04471" w:rsidRDefault="00F04471">
            <w:pPr>
              <w:pStyle w:val="ConsPlusNormal"/>
              <w:jc w:val="center"/>
            </w:pPr>
            <w:r>
              <w:t>6</w:t>
            </w:r>
          </w:p>
        </w:tc>
        <w:tc>
          <w:tcPr>
            <w:tcW w:w="829" w:type="dxa"/>
          </w:tcPr>
          <w:p w:rsidR="00F04471" w:rsidRDefault="00F04471">
            <w:pPr>
              <w:pStyle w:val="ConsPlusNormal"/>
              <w:jc w:val="center"/>
            </w:pPr>
            <w:r>
              <w:t>7</w:t>
            </w:r>
          </w:p>
        </w:tc>
        <w:tc>
          <w:tcPr>
            <w:tcW w:w="1204" w:type="dxa"/>
          </w:tcPr>
          <w:p w:rsidR="00F04471" w:rsidRDefault="00F04471">
            <w:pPr>
              <w:pStyle w:val="ConsPlusNormal"/>
              <w:jc w:val="center"/>
            </w:pPr>
            <w:r>
              <w:t>8</w:t>
            </w:r>
          </w:p>
        </w:tc>
        <w:tc>
          <w:tcPr>
            <w:tcW w:w="340" w:type="dxa"/>
          </w:tcPr>
          <w:p w:rsidR="00F04471" w:rsidRDefault="00F04471">
            <w:pPr>
              <w:pStyle w:val="ConsPlusNormal"/>
              <w:jc w:val="center"/>
            </w:pPr>
            <w:r>
              <w:t>9</w:t>
            </w:r>
          </w:p>
        </w:tc>
        <w:tc>
          <w:tcPr>
            <w:tcW w:w="529" w:type="dxa"/>
          </w:tcPr>
          <w:p w:rsidR="00F04471" w:rsidRDefault="00F04471">
            <w:pPr>
              <w:pStyle w:val="ConsPlusNormal"/>
              <w:jc w:val="center"/>
            </w:pPr>
            <w:r>
              <w:t>10</w:t>
            </w:r>
          </w:p>
        </w:tc>
        <w:tc>
          <w:tcPr>
            <w:tcW w:w="1624" w:type="dxa"/>
          </w:tcPr>
          <w:p w:rsidR="00F04471" w:rsidRDefault="00F04471">
            <w:pPr>
              <w:pStyle w:val="ConsPlusNormal"/>
              <w:jc w:val="center"/>
            </w:pPr>
            <w:r>
              <w:t>11</w:t>
            </w:r>
          </w:p>
        </w:tc>
      </w:tr>
      <w:tr w:rsidR="00F04471">
        <w:tc>
          <w:tcPr>
            <w:tcW w:w="1789" w:type="dxa"/>
          </w:tcPr>
          <w:p w:rsidR="00F04471" w:rsidRDefault="00F04471">
            <w:pPr>
              <w:pStyle w:val="ConsPlusNormal"/>
            </w:pPr>
          </w:p>
        </w:tc>
        <w:tc>
          <w:tcPr>
            <w:tcW w:w="1789" w:type="dxa"/>
          </w:tcPr>
          <w:p w:rsidR="00F04471" w:rsidRDefault="00F04471">
            <w:pPr>
              <w:pStyle w:val="ConsPlusNormal"/>
            </w:pPr>
          </w:p>
        </w:tc>
        <w:tc>
          <w:tcPr>
            <w:tcW w:w="1399" w:type="dxa"/>
          </w:tcPr>
          <w:p w:rsidR="00F04471" w:rsidRDefault="00F04471">
            <w:pPr>
              <w:pStyle w:val="ConsPlusNormal"/>
            </w:pPr>
          </w:p>
        </w:tc>
        <w:tc>
          <w:tcPr>
            <w:tcW w:w="754" w:type="dxa"/>
          </w:tcPr>
          <w:p w:rsidR="00F04471" w:rsidRDefault="00F04471">
            <w:pPr>
              <w:pStyle w:val="ConsPlusNormal"/>
            </w:pPr>
          </w:p>
        </w:tc>
        <w:tc>
          <w:tcPr>
            <w:tcW w:w="979" w:type="dxa"/>
          </w:tcPr>
          <w:p w:rsidR="00F04471" w:rsidRDefault="00F04471">
            <w:pPr>
              <w:pStyle w:val="ConsPlusNormal"/>
            </w:pPr>
          </w:p>
        </w:tc>
        <w:tc>
          <w:tcPr>
            <w:tcW w:w="844" w:type="dxa"/>
          </w:tcPr>
          <w:p w:rsidR="00F04471" w:rsidRDefault="00F04471">
            <w:pPr>
              <w:pStyle w:val="ConsPlusNormal"/>
            </w:pPr>
          </w:p>
        </w:tc>
        <w:tc>
          <w:tcPr>
            <w:tcW w:w="829" w:type="dxa"/>
          </w:tcPr>
          <w:p w:rsidR="00F04471" w:rsidRDefault="00F04471">
            <w:pPr>
              <w:pStyle w:val="ConsPlusNormal"/>
            </w:pPr>
          </w:p>
        </w:tc>
        <w:tc>
          <w:tcPr>
            <w:tcW w:w="1204" w:type="dxa"/>
          </w:tcPr>
          <w:p w:rsidR="00F04471" w:rsidRDefault="00F04471">
            <w:pPr>
              <w:pStyle w:val="ConsPlusNormal"/>
            </w:pPr>
          </w:p>
        </w:tc>
        <w:tc>
          <w:tcPr>
            <w:tcW w:w="340" w:type="dxa"/>
          </w:tcPr>
          <w:p w:rsidR="00F04471" w:rsidRDefault="00F04471">
            <w:pPr>
              <w:pStyle w:val="ConsPlusNormal"/>
            </w:pPr>
          </w:p>
        </w:tc>
        <w:tc>
          <w:tcPr>
            <w:tcW w:w="529" w:type="dxa"/>
          </w:tcPr>
          <w:p w:rsidR="00F04471" w:rsidRDefault="00F04471">
            <w:pPr>
              <w:pStyle w:val="ConsPlusNormal"/>
            </w:pPr>
          </w:p>
        </w:tc>
        <w:tc>
          <w:tcPr>
            <w:tcW w:w="1624" w:type="dxa"/>
          </w:tcPr>
          <w:p w:rsidR="00F04471" w:rsidRDefault="00F04471">
            <w:pPr>
              <w:pStyle w:val="ConsPlusNormal"/>
            </w:pPr>
          </w:p>
        </w:tc>
      </w:tr>
    </w:tbl>
    <w:p w:rsidR="00F04471" w:rsidRDefault="00F04471">
      <w:pPr>
        <w:pStyle w:val="ConsPlusNormal"/>
        <w:jc w:val="both"/>
      </w:pPr>
    </w:p>
    <w:p w:rsidR="00F04471" w:rsidRDefault="00F04471">
      <w:pPr>
        <w:pStyle w:val="ConsPlusNormal"/>
        <w:jc w:val="both"/>
      </w:pPr>
    </w:p>
    <w:p w:rsidR="00F04471" w:rsidRDefault="00F04471">
      <w:pPr>
        <w:pStyle w:val="ConsPlusNormal"/>
        <w:pBdr>
          <w:bottom w:val="single" w:sz="6" w:space="0" w:color="auto"/>
        </w:pBdr>
        <w:spacing w:before="100" w:after="100"/>
        <w:jc w:val="both"/>
        <w:rPr>
          <w:sz w:val="2"/>
          <w:szCs w:val="2"/>
        </w:rPr>
      </w:pPr>
    </w:p>
    <w:p w:rsidR="00A5187C" w:rsidRDefault="00A5187C">
      <w:bookmarkStart w:id="3" w:name="_GoBack"/>
      <w:bookmarkEnd w:id="3"/>
    </w:p>
    <w:sectPr w:rsidR="00A5187C">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471"/>
    <w:rsid w:val="000F047D"/>
    <w:rsid w:val="00A5187C"/>
    <w:rsid w:val="00F04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44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0447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0447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44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0447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0447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8BE199B70E3D9DFEFA91853F150FCFF6BF9DCB6FF070747CD364A636118F8802B984018F568A4D6B72F4E9C6CA28BCEDC548604CF9A19193F8097Ck9X1K" TargetMode="External"/><Relationship Id="rId13" Type="http://schemas.openxmlformats.org/officeDocument/2006/relationships/hyperlink" Target="consultantplus://offline/ref=7A8BE199B70E3D9DFEFA91853F150FCFF6BF9DCB6EF9757C7FD664A636118F8802B984018F568A4D6B72F7ECC6CA28BCEDC548604CF9A19193F8097Ck9X1K"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consultantplus://offline/ref=7A8BE199B70E3D9DFEFA8F88297950C0F1B4C1C465FB7B2A258462F1694189DD42F98253C81387473F23B3B9C3C37EF3A9935B604EE5kAX2K" TargetMode="External"/><Relationship Id="rId12" Type="http://schemas.openxmlformats.org/officeDocument/2006/relationships/hyperlink" Target="consultantplus://offline/ref=7A8BE199B70E3D9DFEFA91853F150FCFF6BF9DCB6EF9757C7FD664A636118F8802B984018F568A4D6B72F7ECC8CA28BCEDC548604CF9A19193F8097Ck9X1K" TargetMode="External"/><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A8BE199B70E3D9DFEFA91853F150FCFF6BF9DCB6EF9757C7FD664A636118F8802B984018F568A4D6B72F7ECCBCA28BCEDC548604CF9A19193F8097Ck9X1K" TargetMode="External"/><Relationship Id="rId11" Type="http://schemas.openxmlformats.org/officeDocument/2006/relationships/hyperlink" Target="consultantplus://offline/ref=7A8BE199B70E3D9DFEFA91853F150FCFF6BF9DCB6EF9757C7FD664A636118F8802B984018F568A4D6B72F7ECCBCA28BCEDC548604CF9A19193F8097Ck9X1K"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consultantplus://offline/ref=7A8BE199B70E3D9DFEFA91853F150FCFF6BF9DCB6FF070747CD364A636118F8802B984018F568A4D6B72F3E4CECA28BCEDC548604CF9A19193F8097Ck9X1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consultantplus://offline/ref=7A8BE199B70E3D9DFEFA91853F150FCFF6BF9DCB6FF070747CD364A636118F8802B984018F568A4D6B71FCB89F8529E0AB925B624DF9A3928FkFX9K" TargetMode="External"/><Relationship Id="rId14" Type="http://schemas.openxmlformats.org/officeDocument/2006/relationships/hyperlink" Target="consultantplus://offline/ref=7A8BE199B70E3D9DFEFA91853F150FCFF6BF9DCB6EF9757C7FD664A636118F8802B984018F568A4D6B72F7ECC7CA28BCEDC548604CF9A19193F8097Ck9X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5D7195-AF04-4E3F-BB4E-8202A32CA697}"/>
</file>

<file path=customXml/itemProps2.xml><?xml version="1.0" encoding="utf-8"?>
<ds:datastoreItem xmlns:ds="http://schemas.openxmlformats.org/officeDocument/2006/customXml" ds:itemID="{AD5D7DE8-73CF-48C1-A856-872E6F23B5AE}"/>
</file>

<file path=customXml/itemProps3.xml><?xml version="1.0" encoding="utf-8"?>
<ds:datastoreItem xmlns:ds="http://schemas.openxmlformats.org/officeDocument/2006/customXml" ds:itemID="{AE9220AE-205C-49AC-B39A-727EAB3B221F}"/>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Простакова Инна Витальевна</dc:creator>
  <cp:lastModifiedBy>Простакова Инна Витальевна</cp:lastModifiedBy>
  <cp:revision>1</cp:revision>
  <dcterms:created xsi:type="dcterms:W3CDTF">2023-03-22T10:23:00Z</dcterms:created>
  <dcterms:modified xsi:type="dcterms:W3CDTF">2023-03-22T10:23:00Z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