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5.xml" ContentType="application/vnd.openxmlformats-officedocument.drawingml.chart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76" w:rsidRPr="00DA3776" w:rsidRDefault="00DA3776" w:rsidP="00DA3776">
      <w:pPr>
        <w:pStyle w:val="2"/>
        <w:numPr>
          <w:ilvl w:val="0"/>
          <w:numId w:val="0"/>
        </w:numPr>
        <w:tabs>
          <w:tab w:val="left" w:pos="9355"/>
        </w:tabs>
        <w:spacing w:before="0" w:after="40" w:line="240" w:lineRule="auto"/>
        <w:rPr>
          <w:rFonts w:ascii="Times New Roman" w:hAnsi="Times New Roman"/>
          <w:i w:val="0"/>
          <w:sz w:val="24"/>
          <w:szCs w:val="24"/>
        </w:rPr>
      </w:pPr>
      <w:bookmarkStart w:id="0" w:name="_Toc150679863"/>
      <w:r w:rsidRPr="00DA3776">
        <w:rPr>
          <w:rFonts w:ascii="Times New Roman" w:hAnsi="Times New Roman"/>
          <w:i w:val="0"/>
          <w:sz w:val="24"/>
          <w:szCs w:val="24"/>
        </w:rPr>
        <w:t xml:space="preserve">АНАЛИТИЧЕСКОЕ ОБОЗРЕНИЕ </w:t>
      </w:r>
    </w:p>
    <w:p w:rsidR="00DA3776" w:rsidRPr="00DA3776" w:rsidRDefault="00DA3776" w:rsidP="00DA377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A3776">
        <w:rPr>
          <w:rFonts w:ascii="Times New Roman" w:hAnsi="Times New Roman"/>
          <w:b/>
          <w:sz w:val="24"/>
          <w:szCs w:val="24"/>
        </w:rPr>
        <w:t>за январь-</w:t>
      </w:r>
      <w:r w:rsidR="009F34B5">
        <w:rPr>
          <w:rFonts w:ascii="Times New Roman" w:hAnsi="Times New Roman"/>
          <w:b/>
          <w:sz w:val="24"/>
          <w:szCs w:val="24"/>
        </w:rPr>
        <w:t>сентябрь</w:t>
      </w:r>
      <w:r w:rsidRPr="00DA3776">
        <w:rPr>
          <w:rFonts w:ascii="Times New Roman" w:hAnsi="Times New Roman"/>
          <w:b/>
          <w:sz w:val="24"/>
          <w:szCs w:val="24"/>
        </w:rPr>
        <w:t xml:space="preserve"> 2011 года</w:t>
      </w:r>
    </w:p>
    <w:p w:rsidR="00DA3776" w:rsidRPr="00DA3776" w:rsidRDefault="00DA3776" w:rsidP="00DA3776">
      <w:pPr>
        <w:pStyle w:val="2"/>
        <w:numPr>
          <w:ilvl w:val="0"/>
          <w:numId w:val="0"/>
        </w:numPr>
        <w:tabs>
          <w:tab w:val="left" w:pos="9355"/>
        </w:tabs>
        <w:spacing w:before="0" w:after="40" w:line="240" w:lineRule="auto"/>
        <w:rPr>
          <w:rFonts w:ascii="Times New Roman" w:hAnsi="Times New Roman"/>
          <w:i w:val="0"/>
          <w:sz w:val="24"/>
          <w:szCs w:val="24"/>
        </w:rPr>
      </w:pPr>
    </w:p>
    <w:p w:rsidR="00DA3776" w:rsidRPr="00DA3776" w:rsidRDefault="00DA3776" w:rsidP="00DA3776">
      <w:pPr>
        <w:pStyle w:val="2"/>
        <w:numPr>
          <w:ilvl w:val="0"/>
          <w:numId w:val="0"/>
        </w:numPr>
        <w:tabs>
          <w:tab w:val="left" w:pos="9355"/>
        </w:tabs>
        <w:spacing w:before="0" w:after="40" w:line="240" w:lineRule="auto"/>
        <w:rPr>
          <w:rFonts w:ascii="Times New Roman" w:hAnsi="Times New Roman"/>
          <w:i w:val="0"/>
          <w:sz w:val="24"/>
          <w:szCs w:val="24"/>
          <w:highlight w:val="yellow"/>
        </w:rPr>
        <w:sectPr w:rsidR="00DA3776" w:rsidRPr="00DA3776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3776" w:rsidRPr="00DA3776" w:rsidRDefault="00DA3776" w:rsidP="00DA377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A3776">
        <w:rPr>
          <w:rFonts w:ascii="Times New Roman" w:hAnsi="Times New Roman"/>
          <w:b/>
          <w:sz w:val="24"/>
          <w:szCs w:val="24"/>
        </w:rPr>
        <w:lastRenderedPageBreak/>
        <w:t xml:space="preserve">Основные показатели </w:t>
      </w:r>
    </w:p>
    <w:p w:rsidR="00DA3776" w:rsidRPr="00DA3776" w:rsidRDefault="00DA3776" w:rsidP="00DA377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A3776">
        <w:rPr>
          <w:rFonts w:ascii="Times New Roman" w:hAnsi="Times New Roman"/>
          <w:b/>
          <w:sz w:val="24"/>
          <w:szCs w:val="24"/>
        </w:rPr>
        <w:t xml:space="preserve">социально-экономического </w:t>
      </w:r>
      <w:bookmarkStart w:id="1" w:name="_Toc87932059"/>
      <w:r w:rsidRPr="00DA3776">
        <w:rPr>
          <w:rFonts w:ascii="Times New Roman" w:hAnsi="Times New Roman"/>
          <w:b/>
          <w:sz w:val="24"/>
          <w:szCs w:val="24"/>
        </w:rPr>
        <w:t>развития г. Красноярска</w:t>
      </w:r>
      <w:bookmarkEnd w:id="0"/>
      <w:bookmarkEnd w:id="1"/>
    </w:p>
    <w:p w:rsidR="00DA3776" w:rsidRPr="00DA3776" w:rsidRDefault="00DA3776" w:rsidP="00DA3776">
      <w:pPr>
        <w:keepNext w:val="0"/>
        <w:widowControl w:val="0"/>
        <w:spacing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(в % к </w:t>
      </w:r>
      <w:r w:rsidR="009F34B5">
        <w:rPr>
          <w:rFonts w:ascii="Times New Roman" w:hAnsi="Times New Roman"/>
          <w:sz w:val="24"/>
          <w:szCs w:val="24"/>
        </w:rPr>
        <w:t>3</w:t>
      </w:r>
      <w:r w:rsidRPr="00DA3776">
        <w:rPr>
          <w:rFonts w:ascii="Times New Roman" w:hAnsi="Times New Roman"/>
          <w:sz w:val="24"/>
          <w:szCs w:val="24"/>
        </w:rPr>
        <w:t xml:space="preserve"> кв. предыдущего года)</w:t>
      </w:r>
    </w:p>
    <w:tbl>
      <w:tblPr>
        <w:tblW w:w="5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8"/>
        <w:gridCol w:w="1143"/>
        <w:gridCol w:w="1013"/>
      </w:tblGrid>
      <w:tr w:rsidR="00DA3776" w:rsidRPr="00DA3776" w:rsidTr="00F360D9">
        <w:trPr>
          <w:trHeight w:val="454"/>
        </w:trPr>
        <w:tc>
          <w:tcPr>
            <w:tcW w:w="3288" w:type="dxa"/>
            <w:shd w:val="clear" w:color="auto" w:fill="CCFFCC"/>
            <w:vAlign w:val="center"/>
          </w:tcPr>
          <w:p w:rsidR="00DA3776" w:rsidRPr="00DA3776" w:rsidRDefault="00DA3776" w:rsidP="004D56AA">
            <w:pPr>
              <w:keepNext w:val="0"/>
              <w:widowControl w:val="0"/>
              <w:tabs>
                <w:tab w:val="left" w:pos="4592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43" w:type="dxa"/>
            <w:shd w:val="clear" w:color="auto" w:fill="CCFFCC"/>
            <w:vAlign w:val="center"/>
          </w:tcPr>
          <w:p w:rsidR="00DA3776" w:rsidRPr="00DA3776" w:rsidRDefault="009F34B5" w:rsidP="004D56AA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A3776"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кв. 2010 г.</w:t>
            </w:r>
          </w:p>
        </w:tc>
        <w:tc>
          <w:tcPr>
            <w:tcW w:w="1013" w:type="dxa"/>
            <w:shd w:val="clear" w:color="auto" w:fill="CCFFCC"/>
            <w:vAlign w:val="center"/>
          </w:tcPr>
          <w:p w:rsidR="00DA3776" w:rsidRPr="00DA3776" w:rsidRDefault="009F34B5" w:rsidP="004D56AA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A3776"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кв. 2011 г.</w:t>
            </w:r>
          </w:p>
        </w:tc>
      </w:tr>
      <w:tr w:rsidR="00DA3776" w:rsidRPr="00DA3776" w:rsidTr="00F360D9">
        <w:trPr>
          <w:trHeight w:val="782"/>
        </w:trPr>
        <w:tc>
          <w:tcPr>
            <w:tcW w:w="3288" w:type="dxa"/>
            <w:shd w:val="clear" w:color="auto" w:fill="auto"/>
            <w:vAlign w:val="center"/>
          </w:tcPr>
          <w:p w:rsidR="00DA3776" w:rsidRPr="00DA3776" w:rsidRDefault="00DA3776" w:rsidP="004D56AA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Оборот розничной торговли в сопоставимых ценах</w:t>
            </w:r>
          </w:p>
        </w:tc>
        <w:tc>
          <w:tcPr>
            <w:tcW w:w="1143" w:type="dxa"/>
            <w:vAlign w:val="center"/>
          </w:tcPr>
          <w:p w:rsidR="00DA3776" w:rsidRPr="00E548E4" w:rsidRDefault="009D0077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E548E4">
              <w:rPr>
                <w:rFonts w:ascii="Times New Roman" w:hAnsi="Times New Roman"/>
                <w:b/>
                <w:i/>
                <w:sz w:val="24"/>
                <w:szCs w:val="24"/>
              </w:rPr>
              <w:t>96,9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DA3776" w:rsidRPr="000B15C6" w:rsidRDefault="000B15C6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0B15C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106</w:t>
            </w:r>
            <w:r w:rsidRPr="000B15C6">
              <w:rPr>
                <w:rFonts w:ascii="Times New Roman" w:hAnsi="Times New Roman"/>
                <w:b/>
                <w:i/>
                <w:sz w:val="24"/>
                <w:szCs w:val="24"/>
              </w:rPr>
              <w:t>,4</w:t>
            </w:r>
          </w:p>
        </w:tc>
      </w:tr>
      <w:tr w:rsidR="009D0077" w:rsidRPr="00DA3776" w:rsidTr="00F360D9">
        <w:trPr>
          <w:trHeight w:val="820"/>
        </w:trPr>
        <w:tc>
          <w:tcPr>
            <w:tcW w:w="3288" w:type="dxa"/>
            <w:shd w:val="clear" w:color="auto" w:fill="auto"/>
            <w:vAlign w:val="center"/>
          </w:tcPr>
          <w:p w:rsidR="009D0077" w:rsidRPr="00DA3776" w:rsidRDefault="009D0077" w:rsidP="004D56AA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Оборот общественного питания в сопоставимых ценах</w:t>
            </w:r>
          </w:p>
        </w:tc>
        <w:tc>
          <w:tcPr>
            <w:tcW w:w="1143" w:type="dxa"/>
            <w:vAlign w:val="center"/>
          </w:tcPr>
          <w:p w:rsidR="009D0077" w:rsidRPr="00E548E4" w:rsidRDefault="009D0077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8E4">
              <w:rPr>
                <w:rFonts w:ascii="Times New Roman" w:hAnsi="Times New Roman"/>
                <w:b/>
                <w:i/>
                <w:sz w:val="24"/>
                <w:szCs w:val="24"/>
              </w:rPr>
              <w:t>90,1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D0077" w:rsidRPr="009F34B5" w:rsidRDefault="000B15C6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0B15C6">
              <w:rPr>
                <w:rFonts w:ascii="Times New Roman" w:hAnsi="Times New Roman"/>
                <w:b/>
                <w:i/>
                <w:sz w:val="24"/>
                <w:szCs w:val="24"/>
              </w:rPr>
              <w:t>105,2</w:t>
            </w:r>
          </w:p>
        </w:tc>
      </w:tr>
      <w:tr w:rsidR="009D0077" w:rsidRPr="00DA3776" w:rsidTr="00F360D9">
        <w:trPr>
          <w:trHeight w:val="694"/>
        </w:trPr>
        <w:tc>
          <w:tcPr>
            <w:tcW w:w="3288" w:type="dxa"/>
            <w:shd w:val="clear" w:color="auto" w:fill="auto"/>
            <w:vAlign w:val="center"/>
          </w:tcPr>
          <w:p w:rsidR="009D0077" w:rsidRPr="00DA3776" w:rsidRDefault="009D0077" w:rsidP="004D56AA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Объем реализации платных услуг в сопоставимых ценах</w:t>
            </w:r>
          </w:p>
        </w:tc>
        <w:tc>
          <w:tcPr>
            <w:tcW w:w="1143" w:type="dxa"/>
            <w:vAlign w:val="center"/>
          </w:tcPr>
          <w:p w:rsidR="009D0077" w:rsidRPr="00E548E4" w:rsidRDefault="009D0077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8E4">
              <w:rPr>
                <w:rFonts w:ascii="Times New Roman" w:hAnsi="Times New Roman"/>
                <w:b/>
                <w:i/>
                <w:sz w:val="24"/>
                <w:szCs w:val="24"/>
              </w:rPr>
              <w:t>98,9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D0077" w:rsidRPr="009F34B5" w:rsidRDefault="000B15C6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0B15C6">
              <w:rPr>
                <w:rFonts w:ascii="Times New Roman" w:hAnsi="Times New Roman"/>
                <w:b/>
                <w:i/>
                <w:sz w:val="24"/>
                <w:szCs w:val="24"/>
              </w:rPr>
              <w:t>110,3</w:t>
            </w:r>
          </w:p>
        </w:tc>
      </w:tr>
      <w:tr w:rsidR="009D0077" w:rsidRPr="00DA3776" w:rsidTr="00F360D9">
        <w:trPr>
          <w:trHeight w:val="690"/>
        </w:trPr>
        <w:tc>
          <w:tcPr>
            <w:tcW w:w="3288" w:type="dxa"/>
            <w:shd w:val="clear" w:color="auto" w:fill="auto"/>
            <w:vAlign w:val="center"/>
          </w:tcPr>
          <w:p w:rsidR="009D0077" w:rsidRPr="00DA3776" w:rsidRDefault="009D0077" w:rsidP="004D56AA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Ввод в действие общей площади жилых домов</w:t>
            </w:r>
          </w:p>
        </w:tc>
        <w:tc>
          <w:tcPr>
            <w:tcW w:w="1143" w:type="dxa"/>
            <w:vAlign w:val="center"/>
          </w:tcPr>
          <w:p w:rsidR="009D0077" w:rsidRPr="002E36FF" w:rsidRDefault="002E36FF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36FF">
              <w:rPr>
                <w:rFonts w:ascii="Times New Roman" w:hAnsi="Times New Roman"/>
                <w:b/>
                <w:i/>
                <w:sz w:val="24"/>
                <w:szCs w:val="24"/>
              </w:rPr>
              <w:t>2,3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E36FF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="00AF39B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D0077" w:rsidRPr="009F34B5" w:rsidRDefault="000B15C6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0B15C6">
              <w:rPr>
                <w:rFonts w:ascii="Times New Roman" w:hAnsi="Times New Roman"/>
                <w:b/>
                <w:i/>
                <w:sz w:val="24"/>
                <w:szCs w:val="24"/>
              </w:rPr>
              <w:t>96,3</w:t>
            </w:r>
          </w:p>
        </w:tc>
      </w:tr>
      <w:tr w:rsidR="009D0077" w:rsidRPr="00DA3776" w:rsidTr="00F360D9">
        <w:trPr>
          <w:trHeight w:val="418"/>
        </w:trPr>
        <w:tc>
          <w:tcPr>
            <w:tcW w:w="3288" w:type="dxa"/>
            <w:shd w:val="clear" w:color="auto" w:fill="auto"/>
            <w:vAlign w:val="center"/>
          </w:tcPr>
          <w:p w:rsidR="009D0077" w:rsidRPr="00DA3776" w:rsidRDefault="009D0077" w:rsidP="004D56AA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Индекс потребительских цен на товары и услуги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9D0077" w:rsidRPr="00E548E4" w:rsidRDefault="009D0077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8E4">
              <w:rPr>
                <w:rFonts w:ascii="Times New Roman" w:hAnsi="Times New Roman"/>
                <w:b/>
                <w:i/>
                <w:sz w:val="24"/>
                <w:szCs w:val="24"/>
              </w:rPr>
              <w:t>107,0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D0077" w:rsidRPr="009F34B5" w:rsidRDefault="000B15C6" w:rsidP="001D6DB5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0B15C6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1D6DB5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0B15C6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="001D6DB5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9D0077" w:rsidRPr="00DA3776" w:rsidTr="00F360D9">
        <w:trPr>
          <w:trHeight w:val="218"/>
        </w:trPr>
        <w:tc>
          <w:tcPr>
            <w:tcW w:w="3288" w:type="dxa"/>
            <w:shd w:val="clear" w:color="auto" w:fill="auto"/>
            <w:vAlign w:val="center"/>
          </w:tcPr>
          <w:p w:rsidR="009D0077" w:rsidRPr="00DA3776" w:rsidRDefault="009D0077" w:rsidP="004D56AA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- на продовольственные товары  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9D0077" w:rsidRPr="00E548E4" w:rsidRDefault="009D0077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8E4">
              <w:rPr>
                <w:rFonts w:ascii="Times New Roman" w:hAnsi="Times New Roman"/>
                <w:b/>
                <w:i/>
                <w:sz w:val="24"/>
                <w:szCs w:val="24"/>
              </w:rPr>
              <w:t>106,1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D0077" w:rsidRPr="009F34B5" w:rsidRDefault="000B15C6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0B15C6">
              <w:rPr>
                <w:rFonts w:ascii="Times New Roman" w:hAnsi="Times New Roman"/>
                <w:b/>
                <w:i/>
                <w:sz w:val="24"/>
                <w:szCs w:val="24"/>
              </w:rPr>
              <w:t>111,8</w:t>
            </w:r>
          </w:p>
        </w:tc>
      </w:tr>
      <w:tr w:rsidR="009D0077" w:rsidRPr="00DA3776" w:rsidTr="00F360D9">
        <w:trPr>
          <w:trHeight w:val="269"/>
        </w:trPr>
        <w:tc>
          <w:tcPr>
            <w:tcW w:w="3288" w:type="dxa"/>
            <w:shd w:val="clear" w:color="auto" w:fill="auto"/>
            <w:vAlign w:val="center"/>
          </w:tcPr>
          <w:p w:rsidR="009D0077" w:rsidRPr="00DA3776" w:rsidRDefault="009D0077" w:rsidP="004D56AA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- на непродовольственные товары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9D0077" w:rsidRPr="00E548E4" w:rsidRDefault="009D0077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8E4">
              <w:rPr>
                <w:rFonts w:ascii="Times New Roman" w:hAnsi="Times New Roman"/>
                <w:b/>
                <w:i/>
                <w:sz w:val="24"/>
                <w:szCs w:val="24"/>
              </w:rPr>
              <w:t>105,1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D0077" w:rsidRPr="009F34B5" w:rsidRDefault="000B15C6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0B15C6">
              <w:rPr>
                <w:rFonts w:ascii="Times New Roman" w:hAnsi="Times New Roman"/>
                <w:b/>
                <w:i/>
                <w:sz w:val="24"/>
                <w:szCs w:val="24"/>
              </w:rPr>
              <w:t>105,4</w:t>
            </w:r>
          </w:p>
        </w:tc>
      </w:tr>
      <w:tr w:rsidR="009D0077" w:rsidRPr="00DA3776" w:rsidTr="00F360D9">
        <w:trPr>
          <w:trHeight w:val="227"/>
        </w:trPr>
        <w:tc>
          <w:tcPr>
            <w:tcW w:w="3288" w:type="dxa"/>
            <w:shd w:val="clear" w:color="auto" w:fill="auto"/>
            <w:vAlign w:val="center"/>
          </w:tcPr>
          <w:p w:rsidR="009D0077" w:rsidRPr="00DA3776" w:rsidRDefault="009D0077" w:rsidP="004D56AA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- на платные услуги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9D0077" w:rsidRPr="00E548E4" w:rsidRDefault="009D0077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8E4">
              <w:rPr>
                <w:rFonts w:ascii="Times New Roman" w:hAnsi="Times New Roman"/>
                <w:b/>
                <w:i/>
                <w:sz w:val="24"/>
                <w:szCs w:val="24"/>
              </w:rPr>
              <w:t>110,5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D0077" w:rsidRPr="009F34B5" w:rsidRDefault="000B15C6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0B15C6">
              <w:rPr>
                <w:rFonts w:ascii="Times New Roman" w:hAnsi="Times New Roman"/>
                <w:b/>
                <w:i/>
                <w:sz w:val="24"/>
                <w:szCs w:val="24"/>
              </w:rPr>
              <w:t>107,4</w:t>
            </w:r>
          </w:p>
        </w:tc>
      </w:tr>
      <w:tr w:rsidR="00DA3776" w:rsidRPr="00DA3776" w:rsidTr="00F360D9">
        <w:trPr>
          <w:trHeight w:val="269"/>
        </w:trPr>
        <w:tc>
          <w:tcPr>
            <w:tcW w:w="3288" w:type="dxa"/>
            <w:shd w:val="clear" w:color="auto" w:fill="auto"/>
            <w:vAlign w:val="center"/>
          </w:tcPr>
          <w:p w:rsidR="00DA3776" w:rsidRPr="00DA3776" w:rsidRDefault="00DA3776" w:rsidP="004D56AA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1143" w:type="dxa"/>
            <w:vAlign w:val="center"/>
          </w:tcPr>
          <w:p w:rsidR="00DA3776" w:rsidRPr="00E548E4" w:rsidRDefault="009D0077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E548E4">
              <w:rPr>
                <w:rFonts w:ascii="Times New Roman" w:hAnsi="Times New Roman"/>
                <w:b/>
                <w:i/>
                <w:sz w:val="24"/>
                <w:szCs w:val="24"/>
              </w:rPr>
              <w:t>0,87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DA3776" w:rsidRPr="009F34B5" w:rsidRDefault="00DA3776" w:rsidP="00A64289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A64289">
              <w:rPr>
                <w:rFonts w:ascii="Times New Roman" w:hAnsi="Times New Roman"/>
                <w:b/>
                <w:i/>
                <w:sz w:val="24"/>
                <w:szCs w:val="24"/>
              </w:rPr>
              <w:t>0,</w:t>
            </w:r>
            <w:r w:rsidR="00A64289" w:rsidRPr="00A64289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</w:tr>
      <w:tr w:rsidR="00DA3776" w:rsidRPr="00DA3776" w:rsidTr="00F360D9">
        <w:trPr>
          <w:trHeight w:val="653"/>
        </w:trPr>
        <w:tc>
          <w:tcPr>
            <w:tcW w:w="3288" w:type="dxa"/>
            <w:shd w:val="clear" w:color="auto" w:fill="auto"/>
            <w:vAlign w:val="center"/>
          </w:tcPr>
          <w:p w:rsidR="00DA3776" w:rsidRPr="00DA3776" w:rsidRDefault="00DA3776" w:rsidP="004D56AA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Нагрузка незанятого трудовой деятельностью населения на одну заявленную вакансию, чел.</w:t>
            </w:r>
          </w:p>
        </w:tc>
        <w:tc>
          <w:tcPr>
            <w:tcW w:w="1143" w:type="dxa"/>
            <w:vAlign w:val="center"/>
          </w:tcPr>
          <w:p w:rsidR="00DA3776" w:rsidRPr="00E548E4" w:rsidRDefault="009D0077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E548E4">
              <w:rPr>
                <w:rFonts w:ascii="Times New Roman" w:hAnsi="Times New Roman"/>
                <w:b/>
                <w:i/>
                <w:sz w:val="24"/>
                <w:szCs w:val="24"/>
              </w:rPr>
              <w:t>0,6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DA3776" w:rsidRPr="009F34B5" w:rsidRDefault="00D87289" w:rsidP="004D56AA">
            <w:pPr>
              <w:keepNext w:val="0"/>
              <w:widowControl w:val="0"/>
              <w:spacing w:before="60" w:after="60"/>
              <w:ind w:firstLine="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D87289">
              <w:rPr>
                <w:rFonts w:ascii="Times New Roman" w:hAnsi="Times New Roman"/>
                <w:b/>
                <w:i/>
                <w:sz w:val="24"/>
                <w:szCs w:val="24"/>
              </w:rPr>
              <w:t>0,4</w:t>
            </w:r>
          </w:p>
        </w:tc>
      </w:tr>
    </w:tbl>
    <w:p w:rsidR="00DA3776" w:rsidRPr="00DA3776" w:rsidRDefault="00DA3776" w:rsidP="00DA3776">
      <w:pPr>
        <w:keepNext w:val="0"/>
        <w:widowControl w:val="0"/>
        <w:spacing w:line="264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DA3776" w:rsidRPr="00DA3776" w:rsidRDefault="00DA3776" w:rsidP="00DA3776">
      <w:pPr>
        <w:keepNext w:val="0"/>
        <w:widowControl w:val="0"/>
        <w:spacing w:line="264" w:lineRule="auto"/>
        <w:ind w:firstLine="0"/>
        <w:rPr>
          <w:rFonts w:ascii="Times New Roman" w:hAnsi="Times New Roman"/>
          <w:b/>
          <w:sz w:val="24"/>
          <w:szCs w:val="24"/>
        </w:rPr>
      </w:pPr>
      <w:r w:rsidRPr="00DA3776">
        <w:rPr>
          <w:rFonts w:ascii="Times New Roman" w:hAnsi="Times New Roman"/>
          <w:b/>
          <w:sz w:val="24"/>
          <w:szCs w:val="24"/>
        </w:rPr>
        <w:t>В январе-</w:t>
      </w:r>
      <w:r w:rsidR="009F34B5">
        <w:rPr>
          <w:rFonts w:ascii="Times New Roman" w:hAnsi="Times New Roman"/>
          <w:b/>
          <w:sz w:val="24"/>
          <w:szCs w:val="24"/>
        </w:rPr>
        <w:t xml:space="preserve">сентябре </w:t>
      </w:r>
      <w:r w:rsidRPr="00DA3776">
        <w:rPr>
          <w:rFonts w:ascii="Times New Roman" w:hAnsi="Times New Roman"/>
          <w:b/>
          <w:sz w:val="24"/>
          <w:szCs w:val="24"/>
        </w:rPr>
        <w:t xml:space="preserve">2011 года в организациях </w:t>
      </w:r>
      <w:r w:rsidRPr="00DA3776">
        <w:rPr>
          <w:rFonts w:ascii="Times New Roman" w:hAnsi="Times New Roman"/>
          <w:b/>
          <w:sz w:val="24"/>
          <w:szCs w:val="24"/>
        </w:rPr>
        <w:br/>
        <w:t>города Красноярска наблюдались следующие                       тенденции</w:t>
      </w:r>
      <w:r w:rsidRPr="00DA3776">
        <w:rPr>
          <w:rStyle w:val="ad"/>
          <w:rFonts w:ascii="Times New Roman" w:hAnsi="Times New Roman"/>
          <w:b/>
          <w:sz w:val="24"/>
          <w:szCs w:val="24"/>
        </w:rPr>
        <w:footnoteReference w:id="2"/>
      </w:r>
      <w:r w:rsidRPr="00DA3776">
        <w:rPr>
          <w:rFonts w:ascii="Times New Roman" w:hAnsi="Times New Roman"/>
          <w:b/>
          <w:sz w:val="24"/>
          <w:szCs w:val="24"/>
        </w:rPr>
        <w:t>:</w:t>
      </w:r>
    </w:p>
    <w:p w:rsidR="00DA3776" w:rsidRPr="00DA3776" w:rsidRDefault="00DA3776" w:rsidP="00DA3776">
      <w:pPr>
        <w:keepNext w:val="0"/>
        <w:widowControl w:val="0"/>
        <w:numPr>
          <w:ilvl w:val="0"/>
          <w:numId w:val="2"/>
        </w:numPr>
        <w:tabs>
          <w:tab w:val="clear" w:pos="2520"/>
          <w:tab w:val="num" w:pos="360"/>
          <w:tab w:val="num" w:pos="1070"/>
        </w:tabs>
        <w:spacing w:before="100" w:beforeAutospacing="1" w:after="120"/>
        <w:ind w:left="0" w:firstLine="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Замедлился процесс улучшения экономической конъюнктуры, наиболее заметное ухудшение экономической конъюнктуры зафиксировано в </w:t>
      </w:r>
      <w:r w:rsidR="00A64289">
        <w:rPr>
          <w:rFonts w:ascii="Times New Roman" w:hAnsi="Times New Roman"/>
          <w:sz w:val="24"/>
          <w:szCs w:val="24"/>
        </w:rPr>
        <w:t>таких видах деятельности, как химическое производство, операции с недвижимым имуществом, аренда и предоставление услуг, транспорт, оптовая и розничная торговля.</w:t>
      </w:r>
    </w:p>
    <w:p w:rsidR="009263DB" w:rsidRDefault="00DA3776" w:rsidP="009263DB">
      <w:pPr>
        <w:keepNext w:val="0"/>
        <w:widowControl w:val="0"/>
        <w:numPr>
          <w:ilvl w:val="0"/>
          <w:numId w:val="2"/>
        </w:numPr>
        <w:tabs>
          <w:tab w:val="clear" w:pos="2520"/>
          <w:tab w:val="num" w:pos="360"/>
          <w:tab w:val="num" w:pos="1070"/>
        </w:tabs>
        <w:spacing w:before="100" w:beforeAutospacing="1" w:after="100" w:afterAutospacing="1"/>
        <w:ind w:left="0" w:firstLine="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lastRenderedPageBreak/>
        <w:t xml:space="preserve">Снизилось влияние на деятельность предприятий таких факторов, как условия кредитования, обеспеченность оборотными средствами, спрос на выпускаемую продукцию, при </w:t>
      </w:r>
      <w:r w:rsidR="00A64289">
        <w:rPr>
          <w:rFonts w:ascii="Times New Roman" w:hAnsi="Times New Roman"/>
          <w:sz w:val="24"/>
          <w:szCs w:val="24"/>
        </w:rPr>
        <w:t xml:space="preserve">усилении влияния </w:t>
      </w:r>
      <w:r w:rsidR="00A64289" w:rsidRPr="00DA3776">
        <w:rPr>
          <w:rFonts w:ascii="Times New Roman" w:hAnsi="Times New Roman"/>
          <w:sz w:val="24"/>
          <w:szCs w:val="24"/>
        </w:rPr>
        <w:t>риск</w:t>
      </w:r>
      <w:r w:rsidR="00A64289">
        <w:rPr>
          <w:rFonts w:ascii="Times New Roman" w:hAnsi="Times New Roman"/>
          <w:sz w:val="24"/>
          <w:szCs w:val="24"/>
        </w:rPr>
        <w:t>ов</w:t>
      </w:r>
      <w:r w:rsidR="00A64289" w:rsidRPr="00DA3776">
        <w:rPr>
          <w:rFonts w:ascii="Times New Roman" w:hAnsi="Times New Roman"/>
          <w:sz w:val="24"/>
          <w:szCs w:val="24"/>
        </w:rPr>
        <w:t xml:space="preserve"> хозяйственной деятельности</w:t>
      </w:r>
      <w:r w:rsidR="00A64289">
        <w:rPr>
          <w:rFonts w:ascii="Times New Roman" w:hAnsi="Times New Roman"/>
          <w:sz w:val="24"/>
          <w:szCs w:val="24"/>
        </w:rPr>
        <w:t xml:space="preserve"> и наличия </w:t>
      </w:r>
      <w:r w:rsidRPr="00DA3776">
        <w:rPr>
          <w:rFonts w:ascii="Times New Roman" w:hAnsi="Times New Roman"/>
          <w:sz w:val="24"/>
          <w:szCs w:val="24"/>
        </w:rPr>
        <w:t>просроченной дебиторской задолженности.</w:t>
      </w:r>
    </w:p>
    <w:p w:rsidR="00DA3776" w:rsidRPr="00DA3776" w:rsidRDefault="00A64289" w:rsidP="009263DB">
      <w:pPr>
        <w:keepNext w:val="0"/>
        <w:widowControl w:val="0"/>
        <w:numPr>
          <w:ilvl w:val="0"/>
          <w:numId w:val="2"/>
        </w:numPr>
        <w:tabs>
          <w:tab w:val="clear" w:pos="2520"/>
          <w:tab w:val="num" w:pos="360"/>
          <w:tab w:val="num" w:pos="1070"/>
        </w:tabs>
        <w:spacing w:before="100" w:beforeAutospacing="1" w:after="12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Сохранился</w:t>
      </w:r>
      <w:r w:rsidR="00DA3776" w:rsidRPr="00DA3776">
        <w:rPr>
          <w:rFonts w:ascii="Times New Roman" w:hAnsi="Times New Roman"/>
          <w:sz w:val="24"/>
          <w:szCs w:val="24"/>
        </w:rPr>
        <w:t xml:space="preserve"> процесс улучшения ситуации в сфере производства товаров и услуг, что в значительной мере</w:t>
      </w:r>
      <w:r>
        <w:rPr>
          <w:rFonts w:ascii="Times New Roman" w:hAnsi="Times New Roman"/>
          <w:sz w:val="24"/>
          <w:szCs w:val="24"/>
        </w:rPr>
        <w:t>,</w:t>
      </w:r>
      <w:r w:rsidR="00DA3776" w:rsidRPr="00DA37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было </w:t>
      </w:r>
      <w:r w:rsidR="00DA3776" w:rsidRPr="00DA3776">
        <w:rPr>
          <w:rFonts w:ascii="Times New Roman" w:hAnsi="Times New Roman"/>
          <w:sz w:val="24"/>
          <w:szCs w:val="24"/>
        </w:rPr>
        <w:t xml:space="preserve">обусловлено усилением </w:t>
      </w:r>
      <w:r>
        <w:rPr>
          <w:rFonts w:ascii="Times New Roman" w:hAnsi="Times New Roman"/>
          <w:sz w:val="24"/>
          <w:szCs w:val="24"/>
        </w:rPr>
        <w:t>роста спроса на продукцию предприятий.</w:t>
      </w:r>
    </w:p>
    <w:p w:rsidR="00DA3776" w:rsidRPr="00DA3776" w:rsidRDefault="00A64289" w:rsidP="00DA3776">
      <w:pPr>
        <w:keepNext w:val="0"/>
        <w:widowControl w:val="0"/>
        <w:numPr>
          <w:ilvl w:val="0"/>
          <w:numId w:val="2"/>
        </w:numPr>
        <w:tabs>
          <w:tab w:val="clear" w:pos="2520"/>
          <w:tab w:val="num" w:pos="360"/>
          <w:tab w:val="num" w:pos="1070"/>
        </w:tabs>
        <w:spacing w:before="100" w:beforeAutospacing="1" w:after="12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Продолжился процесс улучшения ситуации </w:t>
      </w:r>
      <w:r w:rsidR="00DA3776" w:rsidRPr="00DA3776">
        <w:rPr>
          <w:rFonts w:ascii="Times New Roman" w:hAnsi="Times New Roman"/>
          <w:sz w:val="24"/>
          <w:szCs w:val="24"/>
        </w:rPr>
        <w:t xml:space="preserve">с обеспеченностью предприятий оборотными средствами, </w:t>
      </w:r>
      <w:r>
        <w:rPr>
          <w:rFonts w:ascii="Times New Roman" w:hAnsi="Times New Roman"/>
          <w:sz w:val="24"/>
          <w:szCs w:val="24"/>
        </w:rPr>
        <w:t xml:space="preserve">при замедлении процесса ухудшения ситуации с </w:t>
      </w:r>
      <w:r w:rsidR="00DA3776" w:rsidRPr="00DA3776">
        <w:rPr>
          <w:rFonts w:ascii="Times New Roman" w:hAnsi="Times New Roman"/>
          <w:sz w:val="24"/>
          <w:szCs w:val="24"/>
        </w:rPr>
        <w:t>наличием денежных средств, находящихся в распоряжении предприятий.</w:t>
      </w:r>
    </w:p>
    <w:p w:rsidR="00DA3776" w:rsidRPr="00DA3776" w:rsidRDefault="00A64289" w:rsidP="00DA3776">
      <w:pPr>
        <w:keepNext w:val="0"/>
        <w:widowControl w:val="0"/>
        <w:numPr>
          <w:ilvl w:val="0"/>
          <w:numId w:val="2"/>
        </w:numPr>
        <w:tabs>
          <w:tab w:val="clear" w:pos="2520"/>
          <w:tab w:val="num" w:pos="360"/>
          <w:tab w:val="num" w:pos="1070"/>
        </w:tabs>
        <w:spacing w:before="100" w:beforeAutospacing="1" w:after="12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Усилился </w:t>
      </w:r>
      <w:r w:rsidR="00DA3776" w:rsidRPr="00DA3776">
        <w:rPr>
          <w:rFonts w:ascii="Times New Roman" w:hAnsi="Times New Roman"/>
          <w:sz w:val="24"/>
          <w:szCs w:val="24"/>
        </w:rPr>
        <w:t xml:space="preserve">рост цен на готовую продукцию (услуги) предприятий и рост издержек производства. </w:t>
      </w:r>
    </w:p>
    <w:p w:rsidR="00DA3776" w:rsidRPr="00DA3776" w:rsidRDefault="00DA3776" w:rsidP="00DA3776">
      <w:pPr>
        <w:keepNext w:val="0"/>
        <w:widowControl w:val="0"/>
        <w:numPr>
          <w:ilvl w:val="0"/>
          <w:numId w:val="2"/>
        </w:numPr>
        <w:tabs>
          <w:tab w:val="clear" w:pos="2520"/>
          <w:tab w:val="num" w:pos="360"/>
          <w:tab w:val="num" w:pos="1070"/>
        </w:tabs>
        <w:spacing w:before="100" w:beforeAutospacing="1" w:after="120"/>
        <w:ind w:left="0" w:firstLine="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Продолжился процесс </w:t>
      </w:r>
      <w:r w:rsidR="00A64289">
        <w:rPr>
          <w:rFonts w:ascii="Times New Roman" w:hAnsi="Times New Roman"/>
          <w:sz w:val="24"/>
          <w:szCs w:val="24"/>
        </w:rPr>
        <w:t>улучшения</w:t>
      </w:r>
      <w:r w:rsidRPr="00DA3776">
        <w:rPr>
          <w:rFonts w:ascii="Times New Roman" w:hAnsi="Times New Roman"/>
          <w:sz w:val="24"/>
          <w:szCs w:val="24"/>
        </w:rPr>
        <w:t xml:space="preserve"> ситуации </w:t>
      </w:r>
      <w:r w:rsidR="009263DB">
        <w:rPr>
          <w:rFonts w:ascii="Times New Roman" w:hAnsi="Times New Roman"/>
          <w:sz w:val="24"/>
          <w:szCs w:val="24"/>
        </w:rPr>
        <w:t>с просроченной кредиторской задолженностью при замедлении процесса улучшения ситуации с просроченной дебиторской задолженностью.</w:t>
      </w:r>
    </w:p>
    <w:p w:rsidR="00DA3776" w:rsidRPr="00DA3776" w:rsidRDefault="00DA3776" w:rsidP="00DA3776">
      <w:pPr>
        <w:keepNext w:val="0"/>
        <w:widowControl w:val="0"/>
        <w:numPr>
          <w:ilvl w:val="0"/>
          <w:numId w:val="2"/>
        </w:numPr>
        <w:tabs>
          <w:tab w:val="clear" w:pos="2520"/>
          <w:tab w:val="num" w:pos="360"/>
          <w:tab w:val="num" w:pos="1070"/>
        </w:tabs>
        <w:spacing w:before="100" w:beforeAutospacing="1" w:after="120"/>
        <w:ind w:left="0" w:firstLine="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Изменение валютного курса рубля не оказывало влияния на хозяйственную деятельность большинства предприятий. </w:t>
      </w:r>
    </w:p>
    <w:p w:rsidR="00DA3776" w:rsidRPr="00DA3776" w:rsidRDefault="00DA3776" w:rsidP="00DA3776">
      <w:pPr>
        <w:keepNext w:val="0"/>
        <w:widowControl w:val="0"/>
        <w:numPr>
          <w:ilvl w:val="0"/>
          <w:numId w:val="2"/>
        </w:numPr>
        <w:tabs>
          <w:tab w:val="clear" w:pos="2520"/>
          <w:tab w:val="num" w:pos="360"/>
          <w:tab w:val="num" w:pos="1070"/>
        </w:tabs>
        <w:spacing w:before="100" w:beforeAutospacing="1" w:after="120"/>
        <w:ind w:left="0" w:firstLine="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Усилился процесс улучшения ситуации с заказами на  внутреннем рынке. Наиболее значительно возросла доля предприятий, отметивших увеличение объема заказов, по видам экономической деятельности: </w:t>
      </w:r>
      <w:r w:rsidR="00074830">
        <w:rPr>
          <w:rFonts w:ascii="Times New Roman" w:hAnsi="Times New Roman"/>
          <w:sz w:val="24"/>
          <w:szCs w:val="24"/>
        </w:rPr>
        <w:t>производство и распределение электроэнергии, газа и воды, производство пищевых продуктов, включая напитки, и табака, лесоводство и лесозаготовки, добыча полезных ископаемых, геологоразведочные работы.</w:t>
      </w:r>
    </w:p>
    <w:p w:rsidR="00DA3776" w:rsidRPr="00DA3776" w:rsidRDefault="00DA3776" w:rsidP="00DA3776">
      <w:pPr>
        <w:keepNext w:val="0"/>
        <w:widowControl w:val="0"/>
        <w:numPr>
          <w:ilvl w:val="0"/>
          <w:numId w:val="2"/>
        </w:numPr>
        <w:tabs>
          <w:tab w:val="clear" w:pos="2520"/>
          <w:tab w:val="num" w:pos="360"/>
          <w:tab w:val="num" w:pos="1070"/>
        </w:tabs>
        <w:spacing w:before="100" w:beforeAutospacing="1" w:after="100" w:afterAutospacing="1"/>
        <w:ind w:left="0" w:firstLine="0"/>
        <w:contextualSpacing/>
        <w:rPr>
          <w:rFonts w:ascii="Times New Roman" w:hAnsi="Times New Roman"/>
          <w:i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>Замедлился процесс улучшения ситуации с заказами на внешнем рынке</w:t>
      </w:r>
      <w:r w:rsidR="00074830">
        <w:rPr>
          <w:rFonts w:ascii="Times New Roman" w:hAnsi="Times New Roman"/>
          <w:sz w:val="24"/>
          <w:szCs w:val="24"/>
        </w:rPr>
        <w:t>.</w:t>
      </w:r>
    </w:p>
    <w:p w:rsidR="00DA3776" w:rsidRPr="00DA3776" w:rsidRDefault="00DA3776" w:rsidP="00DA3776">
      <w:pPr>
        <w:keepNext w:val="0"/>
        <w:widowControl w:val="0"/>
        <w:spacing w:before="60"/>
        <w:contextualSpacing/>
        <w:rPr>
          <w:rFonts w:ascii="Times New Roman" w:hAnsi="Times New Roman"/>
          <w:i/>
          <w:sz w:val="24"/>
          <w:szCs w:val="24"/>
          <w:highlight w:val="yellow"/>
        </w:rPr>
        <w:sectPr w:rsidR="00DA3776" w:rsidRPr="00DA3776" w:rsidSect="00DA3776">
          <w:type w:val="continuous"/>
          <w:pgSz w:w="11906" w:h="16838"/>
          <w:pgMar w:top="1134" w:right="566" w:bottom="1134" w:left="851" w:header="708" w:footer="708" w:gutter="0"/>
          <w:cols w:num="2" w:space="708" w:equalWidth="0">
            <w:col w:w="5629" w:space="324"/>
            <w:col w:w="4536"/>
          </w:cols>
          <w:docGrid w:linePitch="360"/>
        </w:sectPr>
      </w:pPr>
      <w:r w:rsidRPr="00DA3776">
        <w:rPr>
          <w:rFonts w:ascii="Times New Roman" w:hAnsi="Times New Roman"/>
          <w:i/>
          <w:sz w:val="24"/>
          <w:szCs w:val="24"/>
          <w:highlight w:val="yellow"/>
        </w:rPr>
        <w:br w:type="page"/>
      </w:r>
    </w:p>
    <w:p w:rsidR="00DA3776" w:rsidRPr="00DA3776" w:rsidRDefault="00DA3776" w:rsidP="00DA3776">
      <w:pPr>
        <w:keepNext w:val="0"/>
        <w:widowControl w:val="0"/>
        <w:spacing w:after="60" w:line="336" w:lineRule="auto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DA3776">
        <w:rPr>
          <w:rFonts w:ascii="Times New Roman" w:hAnsi="Times New Roman"/>
          <w:b/>
          <w:i/>
          <w:sz w:val="24"/>
          <w:szCs w:val="24"/>
        </w:rPr>
        <w:lastRenderedPageBreak/>
        <w:t>Демография</w:t>
      </w:r>
    </w:p>
    <w:p w:rsidR="00DA3776" w:rsidRPr="00DA3776" w:rsidRDefault="00306D4D" w:rsidP="00DA3776">
      <w:pPr>
        <w:pStyle w:val="a3"/>
        <w:widowControl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DA3776" w:rsidRPr="00DA3776">
        <w:rPr>
          <w:sz w:val="24"/>
          <w:szCs w:val="24"/>
        </w:rPr>
        <w:t xml:space="preserve">исленность постоянного населения города Красноярска на 1 </w:t>
      </w:r>
      <w:r>
        <w:rPr>
          <w:sz w:val="24"/>
          <w:szCs w:val="24"/>
        </w:rPr>
        <w:t>сентября</w:t>
      </w:r>
      <w:r w:rsidR="00DA3776" w:rsidRPr="00DA3776">
        <w:rPr>
          <w:sz w:val="24"/>
          <w:szCs w:val="24"/>
        </w:rPr>
        <w:t xml:space="preserve"> 2011 года </w:t>
      </w:r>
      <w:r>
        <w:rPr>
          <w:sz w:val="24"/>
          <w:szCs w:val="24"/>
        </w:rPr>
        <w:t>п</w:t>
      </w:r>
      <w:r w:rsidRPr="00DA3776">
        <w:rPr>
          <w:sz w:val="24"/>
          <w:szCs w:val="24"/>
        </w:rPr>
        <w:t xml:space="preserve">о предварительной оценке </w:t>
      </w:r>
      <w:r w:rsidR="00DA3776" w:rsidRPr="00DA3776">
        <w:rPr>
          <w:sz w:val="24"/>
          <w:szCs w:val="24"/>
        </w:rPr>
        <w:t>составила 98</w:t>
      </w:r>
      <w:r>
        <w:rPr>
          <w:sz w:val="24"/>
          <w:szCs w:val="24"/>
        </w:rPr>
        <w:t>7</w:t>
      </w:r>
      <w:r w:rsidR="00DA3776" w:rsidRPr="00DA3776">
        <w:rPr>
          <w:sz w:val="24"/>
          <w:szCs w:val="24"/>
        </w:rPr>
        <w:t>,</w:t>
      </w:r>
      <w:r>
        <w:rPr>
          <w:sz w:val="24"/>
          <w:szCs w:val="24"/>
        </w:rPr>
        <w:t>7</w:t>
      </w:r>
      <w:r w:rsidR="00DA3776" w:rsidRPr="00DA3776">
        <w:rPr>
          <w:sz w:val="24"/>
          <w:szCs w:val="24"/>
        </w:rPr>
        <w:t xml:space="preserve"> тыс. человек и с начала года увеличилась на </w:t>
      </w:r>
      <w:r>
        <w:rPr>
          <w:sz w:val="24"/>
          <w:szCs w:val="24"/>
        </w:rPr>
        <w:t>8,1</w:t>
      </w:r>
      <w:r w:rsidR="00DA3776" w:rsidRPr="00DA3776">
        <w:rPr>
          <w:sz w:val="24"/>
          <w:szCs w:val="24"/>
        </w:rPr>
        <w:t xml:space="preserve"> тыс. человек. Увеличение численности населения произошло, в основном, за счет миграционного притока населения, который составил </w:t>
      </w:r>
      <w:r w:rsidR="00FF588D" w:rsidRPr="00FF588D">
        <w:rPr>
          <w:sz w:val="24"/>
          <w:szCs w:val="24"/>
        </w:rPr>
        <w:t>6</w:t>
      </w:r>
      <w:r w:rsidR="00DA3776" w:rsidRPr="00FF588D">
        <w:rPr>
          <w:sz w:val="24"/>
          <w:szCs w:val="24"/>
        </w:rPr>
        <w:t>,</w:t>
      </w:r>
      <w:r w:rsidR="00FF588D" w:rsidRPr="00FF588D">
        <w:rPr>
          <w:sz w:val="24"/>
          <w:szCs w:val="24"/>
        </w:rPr>
        <w:t>9</w:t>
      </w:r>
      <w:r w:rsidR="00DA3776" w:rsidRPr="00DA3776">
        <w:rPr>
          <w:sz w:val="24"/>
          <w:szCs w:val="24"/>
        </w:rPr>
        <w:t> тыс. человек</w:t>
      </w:r>
      <w:r w:rsidR="00FF588D">
        <w:rPr>
          <w:sz w:val="24"/>
          <w:szCs w:val="24"/>
        </w:rPr>
        <w:t xml:space="preserve"> (за январь-август 2011)</w:t>
      </w:r>
      <w:r w:rsidR="00DA3776" w:rsidRPr="00DA3776">
        <w:rPr>
          <w:sz w:val="24"/>
          <w:szCs w:val="24"/>
        </w:rPr>
        <w:t>, естественн</w:t>
      </w:r>
      <w:r w:rsidR="00FF588D">
        <w:rPr>
          <w:sz w:val="24"/>
          <w:szCs w:val="24"/>
        </w:rPr>
        <w:t>ый</w:t>
      </w:r>
      <w:r w:rsidR="00DA3776" w:rsidRPr="00DA3776">
        <w:rPr>
          <w:sz w:val="24"/>
          <w:szCs w:val="24"/>
        </w:rPr>
        <w:t xml:space="preserve"> </w:t>
      </w:r>
      <w:r w:rsidR="00FF588D">
        <w:rPr>
          <w:sz w:val="24"/>
          <w:szCs w:val="24"/>
        </w:rPr>
        <w:t>прирост</w:t>
      </w:r>
      <w:r w:rsidR="00DA3776" w:rsidRPr="00DA3776">
        <w:rPr>
          <w:sz w:val="24"/>
          <w:szCs w:val="24"/>
        </w:rPr>
        <w:t xml:space="preserve"> населения составил </w:t>
      </w:r>
      <w:r w:rsidR="00FF588D">
        <w:rPr>
          <w:sz w:val="24"/>
          <w:szCs w:val="24"/>
        </w:rPr>
        <w:t>1204</w:t>
      </w:r>
      <w:r w:rsidR="00DA3776" w:rsidRPr="00DA3776">
        <w:rPr>
          <w:sz w:val="24"/>
          <w:szCs w:val="24"/>
        </w:rPr>
        <w:t xml:space="preserve"> человек</w:t>
      </w:r>
      <w:r w:rsidR="00FF588D">
        <w:rPr>
          <w:sz w:val="24"/>
          <w:szCs w:val="24"/>
        </w:rPr>
        <w:t>а</w:t>
      </w:r>
      <w:r w:rsidR="00DA3776" w:rsidRPr="00DA3776">
        <w:rPr>
          <w:sz w:val="24"/>
          <w:szCs w:val="24"/>
        </w:rPr>
        <w:t xml:space="preserve">. Основу миграционного оборота населения города составляют перемещения в пределах Красноярского края – </w:t>
      </w:r>
      <w:r w:rsidR="006C63D2">
        <w:rPr>
          <w:sz w:val="24"/>
          <w:szCs w:val="24"/>
        </w:rPr>
        <w:t>47</w:t>
      </w:r>
      <w:r w:rsidR="00DA3776" w:rsidRPr="00DA3776">
        <w:rPr>
          <w:sz w:val="24"/>
          <w:szCs w:val="24"/>
        </w:rPr>
        <w:t>,</w:t>
      </w:r>
      <w:r w:rsidR="006C63D2">
        <w:rPr>
          <w:sz w:val="24"/>
          <w:szCs w:val="24"/>
        </w:rPr>
        <w:t>7</w:t>
      </w:r>
      <w:r w:rsidR="00DA3776" w:rsidRPr="00DA3776">
        <w:rPr>
          <w:sz w:val="24"/>
          <w:szCs w:val="24"/>
        </w:rPr>
        <w:t>% в общем миграционном обороте.</w:t>
      </w:r>
    </w:p>
    <w:p w:rsidR="00DA3776" w:rsidRPr="00DA3776" w:rsidRDefault="00DA3776" w:rsidP="00DA3776">
      <w:pPr>
        <w:pStyle w:val="a3"/>
        <w:widowControl w:val="0"/>
        <w:ind w:left="0" w:firstLine="709"/>
        <w:jc w:val="both"/>
        <w:rPr>
          <w:sz w:val="24"/>
          <w:szCs w:val="24"/>
          <w:highlight w:val="yellow"/>
        </w:rPr>
      </w:pPr>
    </w:p>
    <w:p w:rsidR="00DA3776" w:rsidRPr="00DA3776" w:rsidRDefault="00DA3776" w:rsidP="00DA377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  <w:highlight w:val="yellow"/>
        </w:rPr>
        <w:sectPr w:rsidR="00DA3776" w:rsidRPr="00DA3776" w:rsidSect="004D56AA">
          <w:type w:val="continuous"/>
          <w:pgSz w:w="11906" w:h="16838"/>
          <w:pgMar w:top="1134" w:right="746" w:bottom="1134" w:left="1080" w:header="708" w:footer="708" w:gutter="0"/>
          <w:cols w:space="720"/>
          <w:docGrid w:linePitch="360"/>
        </w:sectPr>
      </w:pPr>
    </w:p>
    <w:p w:rsidR="00DA3776" w:rsidRDefault="00DA3776" w:rsidP="00DA377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A3776">
        <w:rPr>
          <w:rFonts w:ascii="Times New Roman" w:hAnsi="Times New Roman"/>
          <w:b/>
          <w:sz w:val="24"/>
          <w:szCs w:val="24"/>
        </w:rPr>
        <w:lastRenderedPageBreak/>
        <w:t>Показатели естественного и миграционного</w:t>
      </w:r>
    </w:p>
    <w:p w:rsidR="00DA3776" w:rsidRPr="00DA3776" w:rsidRDefault="00DA3776" w:rsidP="00DA377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A3776">
        <w:rPr>
          <w:rFonts w:ascii="Times New Roman" w:hAnsi="Times New Roman"/>
          <w:b/>
          <w:sz w:val="24"/>
          <w:szCs w:val="24"/>
        </w:rPr>
        <w:t>движения населения</w:t>
      </w:r>
    </w:p>
    <w:p w:rsidR="00DA3776" w:rsidRDefault="00DA3776" w:rsidP="00DA3776">
      <w:pPr>
        <w:keepNext w:val="0"/>
        <w:widowControl w:val="0"/>
        <w:spacing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>(человек)</w:t>
      </w:r>
    </w:p>
    <w:tbl>
      <w:tblPr>
        <w:tblpPr w:leftFromText="180" w:rightFromText="180" w:vertAnchor="text" w:horzAnchor="margin" w:tblpY="230"/>
        <w:tblW w:w="4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1"/>
        <w:gridCol w:w="1149"/>
        <w:gridCol w:w="1149"/>
      </w:tblGrid>
      <w:tr w:rsidR="00F360D9" w:rsidRPr="00DA3776" w:rsidTr="00F360D9">
        <w:trPr>
          <w:trHeight w:val="425"/>
        </w:trPr>
        <w:tc>
          <w:tcPr>
            <w:tcW w:w="2441" w:type="dxa"/>
            <w:shd w:val="clear" w:color="auto" w:fill="CCFFCC"/>
            <w:vAlign w:val="center"/>
          </w:tcPr>
          <w:p w:rsidR="00F360D9" w:rsidRPr="00DA3776" w:rsidRDefault="00F360D9" w:rsidP="00F360D9">
            <w:pPr>
              <w:keepNext w:val="0"/>
              <w:widowControl w:val="0"/>
              <w:tabs>
                <w:tab w:val="left" w:pos="4592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49" w:type="dxa"/>
            <w:shd w:val="clear" w:color="auto" w:fill="CCFFCC"/>
            <w:vAlign w:val="center"/>
          </w:tcPr>
          <w:p w:rsidR="00F360D9" w:rsidRPr="00DA3776" w:rsidRDefault="00F360D9" w:rsidP="00F360D9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>январь-</w:t>
            </w:r>
          </w:p>
          <w:p w:rsidR="00F360D9" w:rsidRPr="00DA3776" w:rsidRDefault="00F360D9" w:rsidP="00F360D9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август</w:t>
            </w:r>
          </w:p>
          <w:p w:rsidR="00F360D9" w:rsidRPr="00DA3776" w:rsidRDefault="00F360D9" w:rsidP="00F360D9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>2010 г.</w:t>
            </w:r>
          </w:p>
        </w:tc>
        <w:tc>
          <w:tcPr>
            <w:tcW w:w="1149" w:type="dxa"/>
            <w:shd w:val="clear" w:color="auto" w:fill="CCFFCC"/>
            <w:vAlign w:val="center"/>
          </w:tcPr>
          <w:p w:rsidR="00F360D9" w:rsidRPr="00DA3776" w:rsidRDefault="00F360D9" w:rsidP="00F360D9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>январь-</w:t>
            </w:r>
          </w:p>
          <w:p w:rsidR="00F360D9" w:rsidRPr="00DA3776" w:rsidRDefault="00F360D9" w:rsidP="00F360D9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август</w:t>
            </w:r>
          </w:p>
          <w:p w:rsidR="00F360D9" w:rsidRPr="00DA3776" w:rsidRDefault="00F360D9" w:rsidP="00F360D9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>2011 г.</w:t>
            </w:r>
          </w:p>
        </w:tc>
      </w:tr>
      <w:tr w:rsidR="00F360D9" w:rsidRPr="00DA3776" w:rsidTr="00F360D9">
        <w:trPr>
          <w:trHeight w:val="375"/>
        </w:trPr>
        <w:tc>
          <w:tcPr>
            <w:tcW w:w="2441" w:type="dxa"/>
            <w:shd w:val="clear" w:color="auto" w:fill="auto"/>
            <w:vAlign w:val="center"/>
          </w:tcPr>
          <w:p w:rsidR="00F360D9" w:rsidRPr="00DA3776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Численность родившихся</w:t>
            </w:r>
          </w:p>
        </w:tc>
        <w:tc>
          <w:tcPr>
            <w:tcW w:w="1149" w:type="dxa"/>
            <w:vAlign w:val="center"/>
          </w:tcPr>
          <w:p w:rsidR="00F360D9" w:rsidRPr="00232E6D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32E6D">
              <w:rPr>
                <w:rFonts w:ascii="Times New Roman" w:hAnsi="Times New Roman"/>
                <w:b/>
              </w:rPr>
              <w:t xml:space="preserve">8 628 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360D9" w:rsidRPr="005C3C05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C3C05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C3C05">
              <w:rPr>
                <w:rFonts w:ascii="Times New Roman" w:hAnsi="Times New Roman"/>
                <w:b/>
              </w:rPr>
              <w:t>490</w:t>
            </w:r>
          </w:p>
        </w:tc>
      </w:tr>
      <w:tr w:rsidR="00F360D9" w:rsidRPr="00DA3776" w:rsidTr="00F360D9">
        <w:trPr>
          <w:trHeight w:val="375"/>
        </w:trPr>
        <w:tc>
          <w:tcPr>
            <w:tcW w:w="2441" w:type="dxa"/>
            <w:shd w:val="clear" w:color="auto" w:fill="auto"/>
            <w:vAlign w:val="center"/>
          </w:tcPr>
          <w:p w:rsidR="00F360D9" w:rsidRPr="00DA3776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Численность умерших</w:t>
            </w:r>
          </w:p>
        </w:tc>
        <w:tc>
          <w:tcPr>
            <w:tcW w:w="1149" w:type="dxa"/>
            <w:vAlign w:val="center"/>
          </w:tcPr>
          <w:p w:rsidR="00F360D9" w:rsidRPr="00232E6D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32E6D">
              <w:rPr>
                <w:rFonts w:ascii="Times New Roman" w:hAnsi="Times New Roman"/>
                <w:b/>
              </w:rPr>
              <w:t xml:space="preserve">7 112 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360D9" w:rsidRPr="005C3C05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C3C05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C3C05">
              <w:rPr>
                <w:rFonts w:ascii="Times New Roman" w:hAnsi="Times New Roman"/>
                <w:b/>
              </w:rPr>
              <w:t>286</w:t>
            </w:r>
          </w:p>
        </w:tc>
      </w:tr>
      <w:tr w:rsidR="00F360D9" w:rsidRPr="00DA3776" w:rsidTr="00F360D9">
        <w:trPr>
          <w:trHeight w:val="375"/>
        </w:trPr>
        <w:tc>
          <w:tcPr>
            <w:tcW w:w="2441" w:type="dxa"/>
            <w:shd w:val="clear" w:color="auto" w:fill="auto"/>
            <w:vAlign w:val="center"/>
          </w:tcPr>
          <w:p w:rsidR="00F360D9" w:rsidRPr="00DA3776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Естественный прирост, </w:t>
            </w:r>
            <w:r w:rsidRPr="00DA3776">
              <w:rPr>
                <w:rFonts w:ascii="Times New Roman" w:hAnsi="Times New Roman"/>
                <w:sz w:val="24"/>
                <w:szCs w:val="24"/>
              </w:rPr>
              <w:br/>
              <w:t>(-) убыль</w:t>
            </w:r>
          </w:p>
        </w:tc>
        <w:tc>
          <w:tcPr>
            <w:tcW w:w="1149" w:type="dxa"/>
            <w:vAlign w:val="center"/>
          </w:tcPr>
          <w:p w:rsidR="00F360D9" w:rsidRPr="00232E6D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1 516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360D9" w:rsidRPr="005C3C05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C3C05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C3C05">
              <w:rPr>
                <w:rFonts w:ascii="Times New Roman" w:hAnsi="Times New Roman"/>
                <w:b/>
              </w:rPr>
              <w:t>204</w:t>
            </w:r>
          </w:p>
        </w:tc>
      </w:tr>
      <w:tr w:rsidR="00F360D9" w:rsidRPr="00DA3776" w:rsidTr="00F360D9">
        <w:trPr>
          <w:trHeight w:val="375"/>
        </w:trPr>
        <w:tc>
          <w:tcPr>
            <w:tcW w:w="2441" w:type="dxa"/>
            <w:shd w:val="clear" w:color="auto" w:fill="auto"/>
            <w:vAlign w:val="center"/>
          </w:tcPr>
          <w:p w:rsidR="00F360D9" w:rsidRPr="00DA3776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Число прибывших</w:t>
            </w:r>
          </w:p>
        </w:tc>
        <w:tc>
          <w:tcPr>
            <w:tcW w:w="1149" w:type="dxa"/>
            <w:vAlign w:val="center"/>
          </w:tcPr>
          <w:p w:rsidR="00F360D9" w:rsidRPr="00232E6D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32E6D">
              <w:rPr>
                <w:rFonts w:ascii="Times New Roman" w:hAnsi="Times New Roman"/>
                <w:b/>
              </w:rPr>
              <w:t>12 118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360D9" w:rsidRPr="005C3C05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C3C05"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C3C05">
              <w:rPr>
                <w:rFonts w:ascii="Times New Roman" w:hAnsi="Times New Roman"/>
                <w:b/>
              </w:rPr>
              <w:t>757</w:t>
            </w:r>
          </w:p>
        </w:tc>
      </w:tr>
      <w:tr w:rsidR="00F360D9" w:rsidRPr="00DA3776" w:rsidTr="00F360D9">
        <w:trPr>
          <w:trHeight w:val="375"/>
        </w:trPr>
        <w:tc>
          <w:tcPr>
            <w:tcW w:w="2441" w:type="dxa"/>
            <w:shd w:val="clear" w:color="auto" w:fill="auto"/>
            <w:vAlign w:val="center"/>
          </w:tcPr>
          <w:p w:rsidR="00F360D9" w:rsidRPr="00DA3776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Число выбывших</w:t>
            </w:r>
          </w:p>
        </w:tc>
        <w:tc>
          <w:tcPr>
            <w:tcW w:w="1149" w:type="dxa"/>
            <w:vAlign w:val="center"/>
          </w:tcPr>
          <w:p w:rsidR="00F360D9" w:rsidRPr="00232E6D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32E6D">
              <w:rPr>
                <w:rFonts w:ascii="Times New Roman" w:hAnsi="Times New Roman"/>
                <w:b/>
              </w:rPr>
              <w:t xml:space="preserve">7 326 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360D9" w:rsidRPr="005C3C05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C3C05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C3C05">
              <w:rPr>
                <w:rFonts w:ascii="Times New Roman" w:hAnsi="Times New Roman"/>
                <w:b/>
              </w:rPr>
              <w:t>905</w:t>
            </w:r>
          </w:p>
        </w:tc>
      </w:tr>
      <w:tr w:rsidR="00F360D9" w:rsidRPr="00DA3776" w:rsidTr="00F360D9">
        <w:trPr>
          <w:trHeight w:val="372"/>
        </w:trPr>
        <w:tc>
          <w:tcPr>
            <w:tcW w:w="2441" w:type="dxa"/>
            <w:shd w:val="clear" w:color="auto" w:fill="auto"/>
            <w:vAlign w:val="center"/>
          </w:tcPr>
          <w:p w:rsidR="00F360D9" w:rsidRPr="00DA3776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Миграционный прирост</w:t>
            </w:r>
          </w:p>
        </w:tc>
        <w:tc>
          <w:tcPr>
            <w:tcW w:w="1149" w:type="dxa"/>
            <w:vAlign w:val="center"/>
          </w:tcPr>
          <w:p w:rsidR="00F360D9" w:rsidRPr="00232E6D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232E6D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32E6D">
              <w:rPr>
                <w:rFonts w:ascii="Times New Roman" w:hAnsi="Times New Roman"/>
                <w:b/>
              </w:rPr>
              <w:t xml:space="preserve">4 792 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F360D9" w:rsidRPr="005C3C05" w:rsidRDefault="00F360D9" w:rsidP="00F360D9">
            <w:pPr>
              <w:keepNext w:val="0"/>
              <w:ind w:firstLine="0"/>
              <w:jc w:val="center"/>
              <w:rPr>
                <w:rFonts w:ascii="Times New Roman" w:hAnsi="Times New Roman"/>
                <w:b/>
              </w:rPr>
            </w:pPr>
            <w:r w:rsidRPr="005C3C05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C3C0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C3C05">
              <w:rPr>
                <w:rFonts w:ascii="Times New Roman" w:hAnsi="Times New Roman"/>
                <w:b/>
              </w:rPr>
              <w:t>852</w:t>
            </w:r>
          </w:p>
        </w:tc>
      </w:tr>
    </w:tbl>
    <w:p w:rsidR="00DA3776" w:rsidRDefault="00DA3776" w:rsidP="00DA3776">
      <w:pPr>
        <w:pStyle w:val="21"/>
        <w:keepNext w:val="0"/>
        <w:widowControl w:val="0"/>
        <w:spacing w:line="264" w:lineRule="auto"/>
        <w:rPr>
          <w:rFonts w:ascii="Times New Roman" w:hAnsi="Times New Roman" w:cs="Times New Roman"/>
          <w:i/>
          <w:sz w:val="24"/>
        </w:rPr>
      </w:pPr>
    </w:p>
    <w:p w:rsidR="00DA3776" w:rsidRDefault="00DA3776" w:rsidP="00DA3776">
      <w:pPr>
        <w:pStyle w:val="21"/>
        <w:keepNext w:val="0"/>
        <w:widowControl w:val="0"/>
        <w:spacing w:line="264" w:lineRule="auto"/>
        <w:rPr>
          <w:rFonts w:ascii="Times New Roman" w:hAnsi="Times New Roman" w:cs="Times New Roman"/>
          <w:i/>
          <w:sz w:val="24"/>
        </w:rPr>
      </w:pPr>
      <w:r w:rsidRPr="00DA3776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028950" cy="2371725"/>
            <wp:effectExtent l="0" t="0" r="0" b="0"/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3776" w:rsidRDefault="00DA3776" w:rsidP="00DA3776">
      <w:pPr>
        <w:pStyle w:val="21"/>
        <w:keepNext w:val="0"/>
        <w:widowControl w:val="0"/>
        <w:spacing w:line="264" w:lineRule="auto"/>
        <w:rPr>
          <w:rFonts w:ascii="Times New Roman" w:hAnsi="Times New Roman" w:cs="Times New Roman"/>
          <w:i/>
          <w:sz w:val="24"/>
        </w:rPr>
      </w:pPr>
    </w:p>
    <w:p w:rsidR="00DA3776" w:rsidRDefault="00DA3776" w:rsidP="00DA3776">
      <w:pPr>
        <w:pStyle w:val="21"/>
        <w:keepNext w:val="0"/>
        <w:widowControl w:val="0"/>
        <w:spacing w:line="264" w:lineRule="auto"/>
        <w:rPr>
          <w:rFonts w:ascii="Times New Roman" w:hAnsi="Times New Roman" w:cs="Times New Roman"/>
          <w:i/>
          <w:sz w:val="24"/>
        </w:rPr>
      </w:pPr>
    </w:p>
    <w:p w:rsidR="00DA3776" w:rsidRPr="00DA3776" w:rsidRDefault="00DA3776" w:rsidP="00DA3776">
      <w:pPr>
        <w:pStyle w:val="21"/>
        <w:keepNext w:val="0"/>
        <w:widowControl w:val="0"/>
        <w:spacing w:line="264" w:lineRule="auto"/>
        <w:rPr>
          <w:rFonts w:ascii="Times New Roman" w:hAnsi="Times New Roman" w:cs="Times New Roman"/>
          <w:i/>
          <w:sz w:val="24"/>
        </w:rPr>
      </w:pPr>
      <w:r w:rsidRPr="00DA3776">
        <w:rPr>
          <w:rFonts w:ascii="Times New Roman" w:hAnsi="Times New Roman" w:cs="Times New Roman"/>
          <w:i/>
          <w:sz w:val="24"/>
        </w:rPr>
        <w:t>Инфляция</w:t>
      </w:r>
    </w:p>
    <w:p w:rsidR="00DA3776" w:rsidRPr="00DA3776" w:rsidRDefault="00DA3776" w:rsidP="00DA3776">
      <w:pPr>
        <w:pStyle w:val="21"/>
        <w:keepNext w:val="0"/>
        <w:widowControl w:val="0"/>
        <w:spacing w:line="264" w:lineRule="auto"/>
        <w:rPr>
          <w:rFonts w:ascii="Times New Roman" w:hAnsi="Times New Roman" w:cs="Times New Roman"/>
          <w:i/>
          <w:sz w:val="24"/>
        </w:rPr>
      </w:pPr>
    </w:p>
    <w:p w:rsidR="00DA3776" w:rsidRPr="00DA3776" w:rsidRDefault="00DA3776" w:rsidP="00DA3776">
      <w:pPr>
        <w:keepNext w:val="0"/>
        <w:widowControl w:val="0"/>
        <w:ind w:firstLine="0"/>
        <w:jc w:val="right"/>
        <w:rPr>
          <w:rFonts w:ascii="Times New Roman" w:hAnsi="Times New Roman"/>
          <w:sz w:val="24"/>
          <w:szCs w:val="24"/>
        </w:rPr>
        <w:sectPr w:rsidR="00DA3776" w:rsidRPr="00DA3776" w:rsidSect="004D56AA">
          <w:type w:val="continuous"/>
          <w:pgSz w:w="11906" w:h="16838"/>
          <w:pgMar w:top="1134" w:right="746" w:bottom="1134" w:left="1080" w:header="708" w:footer="708" w:gutter="0"/>
          <w:cols w:space="720"/>
          <w:docGrid w:linePitch="360"/>
        </w:sectPr>
      </w:pPr>
    </w:p>
    <w:p w:rsidR="00DA3776" w:rsidRPr="00DA3776" w:rsidRDefault="00DA3776" w:rsidP="00DA3776">
      <w:pPr>
        <w:keepNext w:val="0"/>
        <w:widowControl w:val="0"/>
        <w:ind w:firstLine="708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55245</wp:posOffset>
            </wp:positionV>
            <wp:extent cx="3019425" cy="2314575"/>
            <wp:effectExtent l="19050" t="0" r="0" b="0"/>
            <wp:wrapSquare wrapText="bothSides"/>
            <wp:docPr id="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DA3776">
        <w:rPr>
          <w:rFonts w:ascii="Times New Roman" w:hAnsi="Times New Roman"/>
          <w:sz w:val="24"/>
          <w:szCs w:val="24"/>
        </w:rPr>
        <w:t xml:space="preserve">В </w:t>
      </w:r>
      <w:r w:rsidR="009C44F7">
        <w:rPr>
          <w:rFonts w:ascii="Times New Roman" w:hAnsi="Times New Roman"/>
          <w:sz w:val="24"/>
          <w:szCs w:val="24"/>
        </w:rPr>
        <w:t xml:space="preserve">сентябре </w:t>
      </w:r>
      <w:r w:rsidRPr="00DA3776">
        <w:rPr>
          <w:rFonts w:ascii="Times New Roman" w:hAnsi="Times New Roman"/>
          <w:sz w:val="24"/>
          <w:szCs w:val="24"/>
        </w:rPr>
        <w:t xml:space="preserve">2011 года по отношению к декабрю 2010 года </w:t>
      </w:r>
      <w:r w:rsidRPr="00DA3776">
        <w:rPr>
          <w:rFonts w:ascii="Times New Roman" w:hAnsi="Times New Roman"/>
          <w:bCs/>
          <w:sz w:val="24"/>
          <w:szCs w:val="24"/>
        </w:rPr>
        <w:t xml:space="preserve">индекс потребительских цен в </w:t>
      </w:r>
      <w:r w:rsidRPr="00DA3776">
        <w:rPr>
          <w:rFonts w:ascii="Times New Roman" w:hAnsi="Times New Roman"/>
          <w:bCs/>
          <w:sz w:val="24"/>
          <w:szCs w:val="24"/>
        </w:rPr>
        <w:br/>
        <w:t xml:space="preserve">городе Красноярске составил </w:t>
      </w:r>
      <w:r w:rsidR="009C44F7" w:rsidRPr="00D87289">
        <w:rPr>
          <w:rFonts w:ascii="Times New Roman" w:hAnsi="Times New Roman"/>
          <w:bCs/>
          <w:sz w:val="24"/>
          <w:szCs w:val="24"/>
        </w:rPr>
        <w:t>10</w:t>
      </w:r>
      <w:r w:rsidR="006E2F2E">
        <w:rPr>
          <w:rFonts w:ascii="Times New Roman" w:hAnsi="Times New Roman"/>
          <w:bCs/>
          <w:sz w:val="24"/>
          <w:szCs w:val="24"/>
        </w:rPr>
        <w:t>4</w:t>
      </w:r>
      <w:r w:rsidRPr="00D87289">
        <w:rPr>
          <w:rFonts w:ascii="Times New Roman" w:hAnsi="Times New Roman"/>
          <w:bCs/>
          <w:sz w:val="24"/>
          <w:szCs w:val="24"/>
        </w:rPr>
        <w:t>,</w:t>
      </w:r>
      <w:r w:rsidR="006E2F2E">
        <w:rPr>
          <w:rFonts w:ascii="Times New Roman" w:hAnsi="Times New Roman"/>
          <w:bCs/>
          <w:sz w:val="24"/>
          <w:szCs w:val="24"/>
        </w:rPr>
        <w:t>3</w:t>
      </w:r>
      <w:r w:rsidRPr="00D87289">
        <w:rPr>
          <w:rFonts w:ascii="Times New Roman" w:hAnsi="Times New Roman"/>
          <w:bCs/>
          <w:sz w:val="24"/>
          <w:szCs w:val="24"/>
        </w:rPr>
        <w:t>%,</w:t>
      </w:r>
      <w:r w:rsidRPr="009C44F7">
        <w:rPr>
          <w:rFonts w:ascii="Times New Roman" w:hAnsi="Times New Roman"/>
          <w:sz w:val="24"/>
          <w:szCs w:val="24"/>
        </w:rPr>
        <w:t xml:space="preserve"> на                         продовольственные </w:t>
      </w:r>
      <w:r w:rsidRPr="00A10B12">
        <w:rPr>
          <w:rFonts w:ascii="Times New Roman" w:hAnsi="Times New Roman"/>
          <w:sz w:val="24"/>
          <w:szCs w:val="24"/>
        </w:rPr>
        <w:t xml:space="preserve">товары – </w:t>
      </w:r>
      <w:r w:rsidR="00D87289" w:rsidRPr="00D87289">
        <w:rPr>
          <w:rFonts w:ascii="Times New Roman" w:hAnsi="Times New Roman"/>
          <w:sz w:val="24"/>
          <w:szCs w:val="24"/>
        </w:rPr>
        <w:t>1</w:t>
      </w:r>
      <w:r w:rsidR="006E2F2E">
        <w:rPr>
          <w:rFonts w:ascii="Times New Roman" w:hAnsi="Times New Roman"/>
          <w:sz w:val="24"/>
          <w:szCs w:val="24"/>
        </w:rPr>
        <w:t>03</w:t>
      </w:r>
      <w:r w:rsidR="00D87289" w:rsidRPr="00D87289">
        <w:rPr>
          <w:rFonts w:ascii="Times New Roman" w:hAnsi="Times New Roman"/>
          <w:sz w:val="24"/>
          <w:szCs w:val="24"/>
        </w:rPr>
        <w:t>,</w:t>
      </w:r>
      <w:r w:rsidR="006E2F2E">
        <w:rPr>
          <w:rFonts w:ascii="Times New Roman" w:hAnsi="Times New Roman"/>
          <w:sz w:val="24"/>
          <w:szCs w:val="24"/>
        </w:rPr>
        <w:t>2</w:t>
      </w:r>
      <w:r w:rsidRPr="00D87289">
        <w:rPr>
          <w:rFonts w:ascii="Times New Roman" w:hAnsi="Times New Roman"/>
          <w:sz w:val="24"/>
          <w:szCs w:val="24"/>
        </w:rPr>
        <w:t xml:space="preserve">%, непродовольственные товары – </w:t>
      </w:r>
      <w:r w:rsidR="00D87289" w:rsidRPr="00D87289">
        <w:rPr>
          <w:rFonts w:ascii="Times New Roman" w:hAnsi="Times New Roman"/>
          <w:sz w:val="24"/>
          <w:szCs w:val="24"/>
        </w:rPr>
        <w:t>10</w:t>
      </w:r>
      <w:r w:rsidR="006E2F2E">
        <w:rPr>
          <w:rFonts w:ascii="Times New Roman" w:hAnsi="Times New Roman"/>
          <w:sz w:val="24"/>
          <w:szCs w:val="24"/>
        </w:rPr>
        <w:t>4</w:t>
      </w:r>
      <w:r w:rsidR="00D87289" w:rsidRPr="00D87289">
        <w:rPr>
          <w:rFonts w:ascii="Times New Roman" w:hAnsi="Times New Roman"/>
          <w:sz w:val="24"/>
          <w:szCs w:val="24"/>
        </w:rPr>
        <w:t>,</w:t>
      </w:r>
      <w:r w:rsidR="006E2F2E">
        <w:rPr>
          <w:rFonts w:ascii="Times New Roman" w:hAnsi="Times New Roman"/>
          <w:sz w:val="24"/>
          <w:szCs w:val="24"/>
        </w:rPr>
        <w:t>3</w:t>
      </w:r>
      <w:r w:rsidRPr="00D87289">
        <w:rPr>
          <w:rFonts w:ascii="Times New Roman" w:hAnsi="Times New Roman"/>
          <w:sz w:val="24"/>
          <w:szCs w:val="24"/>
        </w:rPr>
        <w:t xml:space="preserve">%, платные услуги населению – </w:t>
      </w:r>
      <w:r w:rsidR="00D87289" w:rsidRPr="00D87289">
        <w:rPr>
          <w:rFonts w:ascii="Times New Roman" w:hAnsi="Times New Roman"/>
          <w:sz w:val="24"/>
          <w:szCs w:val="24"/>
        </w:rPr>
        <w:t>10</w:t>
      </w:r>
      <w:r w:rsidR="006E2F2E">
        <w:rPr>
          <w:rFonts w:ascii="Times New Roman" w:hAnsi="Times New Roman"/>
          <w:sz w:val="24"/>
          <w:szCs w:val="24"/>
        </w:rPr>
        <w:t>5</w:t>
      </w:r>
      <w:r w:rsidR="00D87289" w:rsidRPr="00D87289">
        <w:rPr>
          <w:rFonts w:ascii="Times New Roman" w:hAnsi="Times New Roman"/>
          <w:sz w:val="24"/>
          <w:szCs w:val="24"/>
        </w:rPr>
        <w:t>,</w:t>
      </w:r>
      <w:r w:rsidR="006E2F2E">
        <w:rPr>
          <w:rFonts w:ascii="Times New Roman" w:hAnsi="Times New Roman"/>
          <w:sz w:val="24"/>
          <w:szCs w:val="24"/>
        </w:rPr>
        <w:t>5</w:t>
      </w:r>
      <w:r w:rsidRPr="00D87289">
        <w:rPr>
          <w:rFonts w:ascii="Times New Roman" w:hAnsi="Times New Roman"/>
          <w:sz w:val="24"/>
          <w:szCs w:val="24"/>
        </w:rPr>
        <w:t>%.</w:t>
      </w:r>
      <w:r w:rsidRPr="00DA3776">
        <w:rPr>
          <w:rFonts w:ascii="Times New Roman" w:hAnsi="Times New Roman"/>
          <w:sz w:val="24"/>
          <w:szCs w:val="24"/>
        </w:rPr>
        <w:t xml:space="preserve"> </w:t>
      </w:r>
    </w:p>
    <w:p w:rsidR="00A10B12" w:rsidRDefault="00DA3776" w:rsidP="00DA3776">
      <w:pPr>
        <w:keepNext w:val="0"/>
        <w:widowControl w:val="0"/>
        <w:ind w:firstLine="708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В </w:t>
      </w:r>
      <w:r w:rsidR="009C44F7">
        <w:rPr>
          <w:rFonts w:ascii="Times New Roman" w:hAnsi="Times New Roman"/>
          <w:sz w:val="24"/>
          <w:szCs w:val="24"/>
        </w:rPr>
        <w:t>сентябре</w:t>
      </w:r>
      <w:r w:rsidRPr="00DA3776">
        <w:rPr>
          <w:rFonts w:ascii="Times New Roman" w:hAnsi="Times New Roman"/>
          <w:sz w:val="24"/>
          <w:szCs w:val="24"/>
        </w:rPr>
        <w:t xml:space="preserve"> 2011 года в продовольственной группе товаров увеличение цен по отношению к декабрю 2010 года наблюдалось на </w:t>
      </w:r>
      <w:r w:rsidR="00282104">
        <w:rPr>
          <w:rFonts w:ascii="Times New Roman" w:hAnsi="Times New Roman"/>
          <w:sz w:val="24"/>
          <w:szCs w:val="24"/>
        </w:rPr>
        <w:t xml:space="preserve">следующие товары: </w:t>
      </w:r>
      <w:r w:rsidR="00A10B12" w:rsidRPr="00A10B12">
        <w:rPr>
          <w:rFonts w:ascii="Times New Roman" w:hAnsi="Times New Roman"/>
          <w:sz w:val="24"/>
          <w:szCs w:val="24"/>
        </w:rPr>
        <w:t>пшено</w:t>
      </w:r>
      <w:r w:rsidR="00A10B12" w:rsidRPr="00DA3776">
        <w:rPr>
          <w:rFonts w:ascii="Times New Roman" w:hAnsi="Times New Roman"/>
          <w:sz w:val="24"/>
          <w:szCs w:val="24"/>
        </w:rPr>
        <w:t xml:space="preserve"> – на </w:t>
      </w:r>
      <w:r w:rsidR="00A10B12">
        <w:rPr>
          <w:rFonts w:ascii="Times New Roman" w:hAnsi="Times New Roman"/>
          <w:sz w:val="24"/>
          <w:szCs w:val="24"/>
        </w:rPr>
        <w:t>40</w:t>
      </w:r>
      <w:r w:rsidR="00A10B12" w:rsidRPr="00DA3776">
        <w:rPr>
          <w:rFonts w:ascii="Times New Roman" w:hAnsi="Times New Roman"/>
          <w:sz w:val="24"/>
          <w:szCs w:val="24"/>
        </w:rPr>
        <w:t>,</w:t>
      </w:r>
      <w:r w:rsidR="00A10B12">
        <w:rPr>
          <w:rFonts w:ascii="Times New Roman" w:hAnsi="Times New Roman"/>
          <w:sz w:val="24"/>
          <w:szCs w:val="24"/>
        </w:rPr>
        <w:t>3</w:t>
      </w:r>
      <w:r w:rsidR="00A10B12" w:rsidRPr="00DA3776">
        <w:rPr>
          <w:rFonts w:ascii="Times New Roman" w:hAnsi="Times New Roman"/>
          <w:sz w:val="24"/>
          <w:szCs w:val="24"/>
        </w:rPr>
        <w:t xml:space="preserve">%, </w:t>
      </w:r>
      <w:r w:rsidR="00A10B12" w:rsidRPr="00A10B12">
        <w:rPr>
          <w:rFonts w:ascii="Times New Roman" w:hAnsi="Times New Roman"/>
          <w:sz w:val="24"/>
          <w:szCs w:val="24"/>
        </w:rPr>
        <w:t>говядину – на 2</w:t>
      </w:r>
      <w:r w:rsidR="00A10B12">
        <w:rPr>
          <w:rFonts w:ascii="Times New Roman" w:hAnsi="Times New Roman"/>
          <w:sz w:val="24"/>
          <w:szCs w:val="24"/>
        </w:rPr>
        <w:t>6</w:t>
      </w:r>
      <w:r w:rsidR="00A10B12" w:rsidRPr="00A10B12">
        <w:rPr>
          <w:rFonts w:ascii="Times New Roman" w:hAnsi="Times New Roman"/>
          <w:sz w:val="24"/>
          <w:szCs w:val="24"/>
        </w:rPr>
        <w:t>,</w:t>
      </w:r>
      <w:r w:rsidR="00A10B12">
        <w:rPr>
          <w:rFonts w:ascii="Times New Roman" w:hAnsi="Times New Roman"/>
          <w:sz w:val="24"/>
          <w:szCs w:val="24"/>
        </w:rPr>
        <w:t>4</w:t>
      </w:r>
      <w:r w:rsidR="00A10B12" w:rsidRPr="00A10B12">
        <w:rPr>
          <w:rFonts w:ascii="Times New Roman" w:hAnsi="Times New Roman"/>
          <w:sz w:val="24"/>
          <w:szCs w:val="24"/>
        </w:rPr>
        <w:t>%, колбасу вареную 1 сорта – на 2</w:t>
      </w:r>
      <w:r w:rsidR="00A10B12">
        <w:rPr>
          <w:rFonts w:ascii="Times New Roman" w:hAnsi="Times New Roman"/>
          <w:sz w:val="24"/>
          <w:szCs w:val="24"/>
        </w:rPr>
        <w:t>6</w:t>
      </w:r>
      <w:r w:rsidR="00A10B12" w:rsidRPr="00A10B12">
        <w:rPr>
          <w:rFonts w:ascii="Times New Roman" w:hAnsi="Times New Roman"/>
          <w:sz w:val="24"/>
          <w:szCs w:val="24"/>
        </w:rPr>
        <w:t>,</w:t>
      </w:r>
      <w:r w:rsidR="00A10B12">
        <w:rPr>
          <w:rFonts w:ascii="Times New Roman" w:hAnsi="Times New Roman"/>
          <w:sz w:val="24"/>
          <w:szCs w:val="24"/>
        </w:rPr>
        <w:t xml:space="preserve">3%, </w:t>
      </w:r>
    </w:p>
    <w:p w:rsidR="00C72251" w:rsidRDefault="00A10B12" w:rsidP="00DA3776">
      <w:pPr>
        <w:keepNext w:val="0"/>
        <w:widowControl w:val="0"/>
        <w:ind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Р</w:t>
      </w:r>
      <w:r w:rsidR="00DA3776" w:rsidRPr="00A10B12">
        <w:rPr>
          <w:rFonts w:ascii="Times New Roman" w:hAnsi="Times New Roman"/>
          <w:sz w:val="24"/>
          <w:szCs w:val="24"/>
        </w:rPr>
        <w:t xml:space="preserve">ост цен отмечен также на </w:t>
      </w:r>
      <w:r w:rsidRPr="001A4543">
        <w:rPr>
          <w:rFonts w:ascii="Times New Roman" w:hAnsi="Times New Roman"/>
          <w:sz w:val="24"/>
          <w:szCs w:val="24"/>
        </w:rPr>
        <w:t>крупу гречневую-ядрицу</w:t>
      </w:r>
      <w:r w:rsidR="006701FB">
        <w:rPr>
          <w:rFonts w:ascii="Times New Roman" w:hAnsi="Times New Roman"/>
          <w:sz w:val="24"/>
          <w:szCs w:val="24"/>
        </w:rPr>
        <w:t xml:space="preserve"> - </w:t>
      </w:r>
      <w:r w:rsidRPr="001A4543">
        <w:rPr>
          <w:rFonts w:ascii="Times New Roman" w:hAnsi="Times New Roman"/>
          <w:sz w:val="24"/>
          <w:szCs w:val="24"/>
        </w:rPr>
        <w:t xml:space="preserve">на 15,1%, </w:t>
      </w:r>
      <w:r>
        <w:rPr>
          <w:rFonts w:ascii="Times New Roman" w:hAnsi="Times New Roman"/>
          <w:sz w:val="24"/>
          <w:szCs w:val="24"/>
        </w:rPr>
        <w:t xml:space="preserve">маргарин – на </w:t>
      </w:r>
      <w:r w:rsidR="006701FB">
        <w:rPr>
          <w:rFonts w:ascii="Times New Roman" w:hAnsi="Times New Roman"/>
          <w:sz w:val="24"/>
          <w:szCs w:val="24"/>
        </w:rPr>
        <w:t xml:space="preserve">16,6%, чай черный байховый – на 15,2%. </w:t>
      </w:r>
      <w:r>
        <w:rPr>
          <w:rFonts w:ascii="Times New Roman" w:hAnsi="Times New Roman"/>
          <w:sz w:val="24"/>
          <w:szCs w:val="24"/>
        </w:rPr>
        <w:t xml:space="preserve"> </w:t>
      </w:r>
      <w:r w:rsidR="00DA3776" w:rsidRPr="006701FB">
        <w:rPr>
          <w:rFonts w:ascii="Times New Roman" w:hAnsi="Times New Roman"/>
          <w:sz w:val="24"/>
          <w:szCs w:val="24"/>
        </w:rPr>
        <w:t xml:space="preserve">Мука стала дороже на </w:t>
      </w:r>
      <w:r w:rsidR="006701FB" w:rsidRPr="006701FB">
        <w:rPr>
          <w:rFonts w:ascii="Times New Roman" w:hAnsi="Times New Roman"/>
          <w:sz w:val="24"/>
          <w:szCs w:val="24"/>
        </w:rPr>
        <w:t>8</w:t>
      </w:r>
      <w:r w:rsidR="00DA3776" w:rsidRPr="006701FB">
        <w:rPr>
          <w:rFonts w:ascii="Times New Roman" w:hAnsi="Times New Roman"/>
          <w:sz w:val="24"/>
          <w:szCs w:val="24"/>
        </w:rPr>
        <w:t>,2%, масло подсолнечное</w:t>
      </w:r>
      <w:r w:rsidR="00B74895">
        <w:rPr>
          <w:rFonts w:ascii="Times New Roman" w:hAnsi="Times New Roman"/>
          <w:sz w:val="24"/>
          <w:szCs w:val="24"/>
        </w:rPr>
        <w:t xml:space="preserve"> - </w:t>
      </w:r>
      <w:r w:rsidR="00DA3776" w:rsidRPr="006701FB">
        <w:rPr>
          <w:rFonts w:ascii="Times New Roman" w:hAnsi="Times New Roman"/>
          <w:sz w:val="24"/>
          <w:szCs w:val="24"/>
        </w:rPr>
        <w:t>на 11,</w:t>
      </w:r>
      <w:r w:rsidR="006701FB" w:rsidRPr="006701FB">
        <w:rPr>
          <w:rFonts w:ascii="Times New Roman" w:hAnsi="Times New Roman"/>
          <w:sz w:val="24"/>
          <w:szCs w:val="24"/>
        </w:rPr>
        <w:t>4</w:t>
      </w:r>
      <w:r w:rsidR="00DA3776" w:rsidRPr="006701FB">
        <w:rPr>
          <w:rFonts w:ascii="Times New Roman" w:hAnsi="Times New Roman"/>
          <w:sz w:val="24"/>
          <w:szCs w:val="24"/>
        </w:rPr>
        <w:t xml:space="preserve">%, </w:t>
      </w:r>
      <w:r w:rsidR="006701FB">
        <w:rPr>
          <w:rFonts w:ascii="Times New Roman" w:hAnsi="Times New Roman"/>
          <w:sz w:val="24"/>
          <w:szCs w:val="24"/>
        </w:rPr>
        <w:t xml:space="preserve">творог жирный – на </w:t>
      </w:r>
      <w:r w:rsidR="00B74895">
        <w:rPr>
          <w:rFonts w:ascii="Times New Roman" w:hAnsi="Times New Roman"/>
          <w:sz w:val="24"/>
          <w:szCs w:val="24"/>
        </w:rPr>
        <w:t xml:space="preserve">10,8 %, </w:t>
      </w:r>
      <w:r w:rsidR="00B74895">
        <w:rPr>
          <w:rFonts w:ascii="Times New Roman" w:hAnsi="Times New Roman"/>
          <w:sz w:val="24"/>
          <w:szCs w:val="28"/>
        </w:rPr>
        <w:t>х</w:t>
      </w:r>
      <w:r w:rsidR="00B74895" w:rsidRPr="001444A8">
        <w:rPr>
          <w:rFonts w:ascii="Times New Roman" w:hAnsi="Times New Roman"/>
          <w:sz w:val="24"/>
          <w:szCs w:val="28"/>
        </w:rPr>
        <w:t xml:space="preserve">леб и булочные изделия </w:t>
      </w:r>
      <w:r w:rsidR="00B74895" w:rsidRPr="001444A8">
        <w:rPr>
          <w:rFonts w:ascii="Times New Roman" w:hAnsi="Times New Roman"/>
          <w:sz w:val="24"/>
          <w:szCs w:val="28"/>
        </w:rPr>
        <w:br/>
        <w:t>из пшеничной муки 1 и 2 сортов</w:t>
      </w:r>
      <w:r w:rsidR="00B74895">
        <w:rPr>
          <w:rFonts w:ascii="Times New Roman" w:hAnsi="Times New Roman"/>
          <w:sz w:val="24"/>
          <w:szCs w:val="28"/>
        </w:rPr>
        <w:t xml:space="preserve"> – на 3,6%. </w:t>
      </w:r>
    </w:p>
    <w:p w:rsidR="00DA3776" w:rsidRPr="00F360D9" w:rsidRDefault="00DA3776" w:rsidP="00F360D9">
      <w:pPr>
        <w:pStyle w:val="af0"/>
        <w:widowControl w:val="0"/>
        <w:spacing w:line="252" w:lineRule="auto"/>
        <w:rPr>
          <w:rFonts w:ascii="Times New Roman" w:hAnsi="Times New Roman"/>
          <w:sz w:val="24"/>
          <w:szCs w:val="24"/>
        </w:rPr>
        <w:sectPr w:rsidR="00DA3776" w:rsidRPr="00F360D9" w:rsidSect="004D56AA">
          <w:type w:val="continuous"/>
          <w:pgSz w:w="11906" w:h="16838"/>
          <w:pgMar w:top="1134" w:right="746" w:bottom="1134" w:left="1080" w:header="708" w:footer="708" w:gutter="0"/>
          <w:cols w:space="720"/>
          <w:docGrid w:linePitch="360"/>
        </w:sectPr>
      </w:pPr>
      <w:r w:rsidRPr="00A10B12">
        <w:rPr>
          <w:rFonts w:ascii="Times New Roman" w:hAnsi="Times New Roman"/>
          <w:sz w:val="24"/>
          <w:szCs w:val="24"/>
        </w:rPr>
        <w:t>Наряду с этим, зафиксировано снижение цен н</w:t>
      </w:r>
      <w:r w:rsidRPr="00C72251">
        <w:rPr>
          <w:rFonts w:ascii="Times New Roman" w:hAnsi="Times New Roman"/>
          <w:sz w:val="24"/>
          <w:szCs w:val="24"/>
        </w:rPr>
        <w:t xml:space="preserve">а </w:t>
      </w:r>
      <w:r w:rsidR="00506E58">
        <w:rPr>
          <w:rFonts w:ascii="Times New Roman" w:hAnsi="Times New Roman"/>
          <w:sz w:val="24"/>
          <w:szCs w:val="24"/>
        </w:rPr>
        <w:t xml:space="preserve">яйца куриные – на 1,1%, </w:t>
      </w:r>
      <w:r w:rsidR="00506E58">
        <w:rPr>
          <w:rFonts w:ascii="Times New Roman" w:hAnsi="Times New Roman"/>
          <w:sz w:val="24"/>
          <w:szCs w:val="28"/>
        </w:rPr>
        <w:t xml:space="preserve">молоко цельное </w:t>
      </w:r>
      <w:r w:rsidR="00506E58" w:rsidRPr="001444A8">
        <w:rPr>
          <w:rFonts w:ascii="Times New Roman" w:hAnsi="Times New Roman"/>
          <w:sz w:val="24"/>
          <w:szCs w:val="28"/>
        </w:rPr>
        <w:t>пастеризованное  2,5-3,2%  жирности</w:t>
      </w:r>
      <w:r w:rsidR="00506E58">
        <w:rPr>
          <w:rFonts w:ascii="Times New Roman" w:hAnsi="Times New Roman"/>
          <w:sz w:val="24"/>
          <w:szCs w:val="28"/>
        </w:rPr>
        <w:t xml:space="preserve"> – на 4,2%,</w:t>
      </w:r>
      <w:r w:rsidR="00506E58" w:rsidRPr="00B74895">
        <w:rPr>
          <w:rFonts w:ascii="Times New Roman" w:hAnsi="Times New Roman"/>
          <w:sz w:val="24"/>
          <w:szCs w:val="24"/>
        </w:rPr>
        <w:t xml:space="preserve"> </w:t>
      </w:r>
      <w:r w:rsidR="00B74895" w:rsidRPr="00B74895">
        <w:rPr>
          <w:rFonts w:ascii="Times New Roman" w:hAnsi="Times New Roman"/>
          <w:sz w:val="24"/>
          <w:szCs w:val="24"/>
        </w:rPr>
        <w:t>сахар-песок на 7,8</w:t>
      </w:r>
      <w:r w:rsidR="00B74895">
        <w:rPr>
          <w:rFonts w:ascii="Times New Roman" w:hAnsi="Times New Roman"/>
          <w:sz w:val="24"/>
          <w:szCs w:val="24"/>
        </w:rPr>
        <w:t xml:space="preserve">%, </w:t>
      </w:r>
      <w:r w:rsidR="00C72251" w:rsidRPr="00FA5381">
        <w:rPr>
          <w:rFonts w:ascii="Times New Roman" w:hAnsi="Times New Roman"/>
          <w:sz w:val="24"/>
          <w:szCs w:val="24"/>
        </w:rPr>
        <w:t>масло сливочное</w:t>
      </w:r>
      <w:r w:rsidR="00C72251">
        <w:rPr>
          <w:rFonts w:ascii="Times New Roman" w:hAnsi="Times New Roman"/>
          <w:sz w:val="24"/>
          <w:szCs w:val="24"/>
        </w:rPr>
        <w:t xml:space="preserve"> -  </w:t>
      </w:r>
      <w:r w:rsidR="00C72251" w:rsidRPr="00FA5381">
        <w:rPr>
          <w:rFonts w:ascii="Times New Roman" w:hAnsi="Times New Roman"/>
          <w:sz w:val="24"/>
          <w:szCs w:val="24"/>
        </w:rPr>
        <w:t>на 8,4%,</w:t>
      </w:r>
      <w:r w:rsidR="00C72251" w:rsidRPr="00C72251">
        <w:rPr>
          <w:rFonts w:ascii="Times New Roman" w:hAnsi="Times New Roman"/>
          <w:sz w:val="24"/>
          <w:szCs w:val="24"/>
        </w:rPr>
        <w:t xml:space="preserve"> </w:t>
      </w:r>
      <w:r w:rsidR="00C72251">
        <w:rPr>
          <w:rFonts w:ascii="Times New Roman" w:hAnsi="Times New Roman"/>
          <w:sz w:val="24"/>
          <w:szCs w:val="24"/>
        </w:rPr>
        <w:t xml:space="preserve">морковь – на 26,3%, </w:t>
      </w:r>
      <w:r w:rsidR="00FA5381">
        <w:rPr>
          <w:rFonts w:ascii="Times New Roman" w:hAnsi="Times New Roman"/>
          <w:sz w:val="24"/>
          <w:szCs w:val="24"/>
        </w:rPr>
        <w:t>картофель – на 38,1%, капусту белокочанную свежую</w:t>
      </w:r>
      <w:r w:rsidR="00506E58">
        <w:rPr>
          <w:rFonts w:ascii="Times New Roman" w:hAnsi="Times New Roman"/>
          <w:sz w:val="24"/>
          <w:szCs w:val="24"/>
        </w:rPr>
        <w:t xml:space="preserve"> </w:t>
      </w:r>
      <w:r w:rsidR="00FA5381">
        <w:rPr>
          <w:rFonts w:ascii="Times New Roman" w:hAnsi="Times New Roman"/>
          <w:sz w:val="24"/>
          <w:szCs w:val="24"/>
        </w:rPr>
        <w:t xml:space="preserve">– на </w:t>
      </w:r>
      <w:r w:rsidR="00F360D9">
        <w:rPr>
          <w:rFonts w:ascii="Times New Roman" w:hAnsi="Times New Roman"/>
          <w:sz w:val="24"/>
          <w:szCs w:val="24"/>
        </w:rPr>
        <w:t>71,3%.</w:t>
      </w:r>
    </w:p>
    <w:p w:rsidR="00DA3776" w:rsidRPr="00DA3776" w:rsidRDefault="00DA3776" w:rsidP="00DA3776">
      <w:pPr>
        <w:keepNext w:val="0"/>
        <w:widowControl w:val="0"/>
        <w:ind w:firstLine="708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lastRenderedPageBreak/>
        <w:t xml:space="preserve">Стоимость минимального набора продуктов питания по г. Красноярску в </w:t>
      </w:r>
      <w:r w:rsidR="00BA2030">
        <w:rPr>
          <w:rFonts w:ascii="Times New Roman" w:hAnsi="Times New Roman"/>
          <w:sz w:val="24"/>
          <w:szCs w:val="24"/>
        </w:rPr>
        <w:t>сентябре</w:t>
      </w:r>
      <w:r w:rsidRPr="00DA3776">
        <w:rPr>
          <w:rFonts w:ascii="Times New Roman" w:hAnsi="Times New Roman"/>
          <w:sz w:val="24"/>
          <w:szCs w:val="24"/>
        </w:rPr>
        <w:t xml:space="preserve"> 2011 </w:t>
      </w:r>
      <w:r w:rsidRPr="00DA3776">
        <w:rPr>
          <w:rFonts w:ascii="Times New Roman" w:hAnsi="Times New Roman"/>
          <w:sz w:val="24"/>
          <w:szCs w:val="24"/>
        </w:rPr>
        <w:lastRenderedPageBreak/>
        <w:t>года составила 2</w:t>
      </w:r>
      <w:r w:rsidR="00BA2030">
        <w:rPr>
          <w:rFonts w:ascii="Times New Roman" w:hAnsi="Times New Roman"/>
          <w:sz w:val="24"/>
          <w:szCs w:val="24"/>
        </w:rPr>
        <w:t>555</w:t>
      </w:r>
      <w:r w:rsidRPr="00DA3776">
        <w:rPr>
          <w:rFonts w:ascii="Times New Roman" w:hAnsi="Times New Roman"/>
          <w:sz w:val="24"/>
          <w:szCs w:val="24"/>
        </w:rPr>
        <w:t>,</w:t>
      </w:r>
      <w:r w:rsidR="00BA2030">
        <w:rPr>
          <w:rFonts w:ascii="Times New Roman" w:hAnsi="Times New Roman"/>
          <w:sz w:val="24"/>
          <w:szCs w:val="24"/>
        </w:rPr>
        <w:t>43</w:t>
      </w:r>
      <w:r w:rsidRPr="00DA3776">
        <w:rPr>
          <w:rFonts w:ascii="Times New Roman" w:hAnsi="Times New Roman"/>
          <w:sz w:val="24"/>
          <w:szCs w:val="24"/>
        </w:rPr>
        <w:t xml:space="preserve"> рубля и у</w:t>
      </w:r>
      <w:r w:rsidR="00BA2030">
        <w:rPr>
          <w:rFonts w:ascii="Times New Roman" w:hAnsi="Times New Roman"/>
          <w:sz w:val="24"/>
          <w:szCs w:val="24"/>
        </w:rPr>
        <w:t>меньшилась</w:t>
      </w:r>
      <w:r w:rsidRPr="00DA3776">
        <w:rPr>
          <w:rFonts w:ascii="Times New Roman" w:hAnsi="Times New Roman"/>
          <w:sz w:val="24"/>
          <w:szCs w:val="24"/>
        </w:rPr>
        <w:t xml:space="preserve"> по сравнению с декабрем 2010 года на 9,9%. </w:t>
      </w:r>
      <w:r w:rsidRPr="00DA3776">
        <w:rPr>
          <w:rFonts w:ascii="Times New Roman" w:hAnsi="Times New Roman"/>
          <w:sz w:val="24"/>
          <w:szCs w:val="24"/>
        </w:rPr>
        <w:br/>
        <w:t xml:space="preserve">В среднем по России стоимость этого набора была равна 2 </w:t>
      </w:r>
      <w:r w:rsidR="00F360D9">
        <w:rPr>
          <w:rFonts w:ascii="Times New Roman" w:hAnsi="Times New Roman"/>
          <w:sz w:val="24"/>
          <w:szCs w:val="24"/>
        </w:rPr>
        <w:t>409</w:t>
      </w:r>
      <w:r w:rsidRPr="00DA3776">
        <w:rPr>
          <w:rFonts w:ascii="Times New Roman" w:hAnsi="Times New Roman"/>
          <w:sz w:val="24"/>
          <w:szCs w:val="24"/>
        </w:rPr>
        <w:t>,</w:t>
      </w:r>
      <w:r w:rsidR="00F360D9">
        <w:rPr>
          <w:rFonts w:ascii="Times New Roman" w:hAnsi="Times New Roman"/>
          <w:sz w:val="24"/>
          <w:szCs w:val="24"/>
        </w:rPr>
        <w:t>14</w:t>
      </w:r>
      <w:r w:rsidRPr="00DA3776">
        <w:rPr>
          <w:rFonts w:ascii="Times New Roman" w:hAnsi="Times New Roman"/>
          <w:sz w:val="24"/>
          <w:szCs w:val="24"/>
        </w:rPr>
        <w:t xml:space="preserve"> рубля.</w:t>
      </w:r>
    </w:p>
    <w:p w:rsidR="0054107C" w:rsidRDefault="00DA3776" w:rsidP="00DA3776">
      <w:pPr>
        <w:widowControl w:val="0"/>
        <w:ind w:right="-142" w:firstLine="708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В непродовольственной группе наибольшее увеличение цен наблюдалось на сигареты с фильтром отечественные </w:t>
      </w:r>
      <w:r w:rsidRPr="00B05409">
        <w:rPr>
          <w:rFonts w:ascii="Times New Roman" w:hAnsi="Times New Roman"/>
          <w:sz w:val="24"/>
          <w:szCs w:val="24"/>
        </w:rPr>
        <w:t xml:space="preserve">на </w:t>
      </w:r>
      <w:r w:rsidR="00B05409" w:rsidRPr="00B05409">
        <w:rPr>
          <w:rFonts w:ascii="Times New Roman" w:hAnsi="Times New Roman"/>
          <w:sz w:val="24"/>
          <w:szCs w:val="24"/>
        </w:rPr>
        <w:t>33</w:t>
      </w:r>
      <w:r w:rsidRPr="00B05409">
        <w:rPr>
          <w:rFonts w:ascii="Times New Roman" w:hAnsi="Times New Roman"/>
          <w:sz w:val="24"/>
          <w:szCs w:val="24"/>
        </w:rPr>
        <w:t>,3%, телевизор цветного изображения – на 1</w:t>
      </w:r>
      <w:r w:rsidR="00B05409" w:rsidRPr="00B05409">
        <w:rPr>
          <w:rFonts w:ascii="Times New Roman" w:hAnsi="Times New Roman"/>
          <w:sz w:val="24"/>
          <w:szCs w:val="24"/>
        </w:rPr>
        <w:t>1</w:t>
      </w:r>
      <w:r w:rsidRPr="00B05409">
        <w:rPr>
          <w:rFonts w:ascii="Times New Roman" w:hAnsi="Times New Roman"/>
          <w:sz w:val="24"/>
          <w:szCs w:val="24"/>
        </w:rPr>
        <w:t xml:space="preserve">,1%, мыло хозяйственное – на </w:t>
      </w:r>
      <w:r w:rsidR="00B05409" w:rsidRPr="00B05409">
        <w:rPr>
          <w:rFonts w:ascii="Times New Roman" w:hAnsi="Times New Roman"/>
          <w:sz w:val="24"/>
          <w:szCs w:val="24"/>
        </w:rPr>
        <w:t>23</w:t>
      </w:r>
      <w:r w:rsidRPr="00B05409">
        <w:rPr>
          <w:rFonts w:ascii="Times New Roman" w:hAnsi="Times New Roman"/>
          <w:sz w:val="24"/>
          <w:szCs w:val="24"/>
        </w:rPr>
        <w:t>,</w:t>
      </w:r>
      <w:r w:rsidR="00B05409" w:rsidRPr="00B05409">
        <w:rPr>
          <w:rFonts w:ascii="Times New Roman" w:hAnsi="Times New Roman"/>
          <w:sz w:val="24"/>
          <w:szCs w:val="24"/>
        </w:rPr>
        <w:t>1</w:t>
      </w:r>
      <w:r w:rsidRPr="00B05409">
        <w:rPr>
          <w:rFonts w:ascii="Times New Roman" w:hAnsi="Times New Roman"/>
          <w:sz w:val="24"/>
          <w:szCs w:val="24"/>
        </w:rPr>
        <w:t xml:space="preserve">%, </w:t>
      </w:r>
      <w:r w:rsidRPr="0054107C">
        <w:rPr>
          <w:rFonts w:ascii="Times New Roman" w:hAnsi="Times New Roman"/>
          <w:sz w:val="24"/>
          <w:szCs w:val="24"/>
        </w:rPr>
        <w:t>костюм-двойку мужской из шерстяных, полушерстяных или смесовых тканей – на 1</w:t>
      </w:r>
      <w:r w:rsidR="0054107C" w:rsidRPr="0054107C">
        <w:rPr>
          <w:rFonts w:ascii="Times New Roman" w:hAnsi="Times New Roman"/>
          <w:sz w:val="24"/>
          <w:szCs w:val="24"/>
        </w:rPr>
        <w:t>9</w:t>
      </w:r>
      <w:r w:rsidRPr="0054107C">
        <w:rPr>
          <w:rFonts w:ascii="Times New Roman" w:hAnsi="Times New Roman"/>
          <w:sz w:val="24"/>
          <w:szCs w:val="24"/>
        </w:rPr>
        <w:t>,</w:t>
      </w:r>
      <w:r w:rsidR="0054107C" w:rsidRPr="0054107C">
        <w:rPr>
          <w:rFonts w:ascii="Times New Roman" w:hAnsi="Times New Roman"/>
          <w:sz w:val="24"/>
          <w:szCs w:val="24"/>
        </w:rPr>
        <w:t>4</w:t>
      </w:r>
      <w:r w:rsidRPr="0054107C">
        <w:rPr>
          <w:rFonts w:ascii="Times New Roman" w:hAnsi="Times New Roman"/>
          <w:sz w:val="24"/>
          <w:szCs w:val="24"/>
        </w:rPr>
        <w:t>%, брюки мужские из полушерстяных или смесовых тканей – на 1</w:t>
      </w:r>
      <w:r w:rsidR="0054107C" w:rsidRPr="0054107C">
        <w:rPr>
          <w:rFonts w:ascii="Times New Roman" w:hAnsi="Times New Roman"/>
          <w:sz w:val="24"/>
          <w:szCs w:val="24"/>
        </w:rPr>
        <w:t>9</w:t>
      </w:r>
      <w:r w:rsidRPr="0054107C">
        <w:rPr>
          <w:rFonts w:ascii="Times New Roman" w:hAnsi="Times New Roman"/>
          <w:sz w:val="24"/>
          <w:szCs w:val="24"/>
        </w:rPr>
        <w:t>,</w:t>
      </w:r>
      <w:r w:rsidR="0054107C" w:rsidRPr="0054107C">
        <w:rPr>
          <w:rFonts w:ascii="Times New Roman" w:hAnsi="Times New Roman"/>
          <w:sz w:val="24"/>
          <w:szCs w:val="24"/>
        </w:rPr>
        <w:t>2</w:t>
      </w:r>
      <w:r w:rsidRPr="0054107C">
        <w:rPr>
          <w:rFonts w:ascii="Times New Roman" w:hAnsi="Times New Roman"/>
          <w:sz w:val="24"/>
          <w:szCs w:val="24"/>
        </w:rPr>
        <w:t xml:space="preserve">%. Также увеличились цены на </w:t>
      </w:r>
      <w:r w:rsidR="0054107C" w:rsidRPr="0054107C">
        <w:rPr>
          <w:rFonts w:ascii="Times New Roman" w:hAnsi="Times New Roman"/>
          <w:sz w:val="24"/>
          <w:szCs w:val="24"/>
        </w:rPr>
        <w:t>пальто женское демисезонное – на 5,6%, брюки для детей школьного возраста из полушерстяных тканей – на 6,4%.</w:t>
      </w:r>
    </w:p>
    <w:p w:rsidR="00DA3776" w:rsidRPr="00DA3776" w:rsidRDefault="0054107C" w:rsidP="00DA3776">
      <w:pPr>
        <w:widowControl w:val="0"/>
        <w:ind w:right="-142" w:firstLine="708"/>
        <w:rPr>
          <w:rFonts w:ascii="Times New Roman" w:hAnsi="Times New Roman"/>
          <w:sz w:val="24"/>
          <w:szCs w:val="24"/>
        </w:rPr>
      </w:pPr>
      <w:r w:rsidRPr="0054107C">
        <w:rPr>
          <w:rFonts w:ascii="Times New Roman" w:hAnsi="Times New Roman"/>
          <w:sz w:val="24"/>
          <w:szCs w:val="24"/>
        </w:rPr>
        <w:t>Бензин автомобильный марки АИ-92 подорожал н</w:t>
      </w:r>
      <w:r>
        <w:rPr>
          <w:rFonts w:ascii="Times New Roman" w:hAnsi="Times New Roman"/>
          <w:sz w:val="24"/>
          <w:szCs w:val="24"/>
        </w:rPr>
        <w:t xml:space="preserve">а </w:t>
      </w:r>
      <w:r w:rsidR="004D56AA">
        <w:rPr>
          <w:rFonts w:ascii="Times New Roman" w:hAnsi="Times New Roman"/>
          <w:sz w:val="24"/>
          <w:szCs w:val="24"/>
        </w:rPr>
        <w:t xml:space="preserve">11,5%, </w:t>
      </w:r>
      <w:r w:rsidR="004D56AA" w:rsidRPr="004D56AA">
        <w:rPr>
          <w:rFonts w:ascii="Times New Roman" w:hAnsi="Times New Roman"/>
          <w:sz w:val="24"/>
          <w:szCs w:val="24"/>
        </w:rPr>
        <w:t xml:space="preserve">марки АИ-95 и выше – на </w:t>
      </w:r>
      <w:r w:rsidR="004D56AA">
        <w:rPr>
          <w:rFonts w:ascii="Times New Roman" w:hAnsi="Times New Roman"/>
          <w:sz w:val="24"/>
          <w:szCs w:val="24"/>
        </w:rPr>
        <w:t>5,9 %, цена на уголь увеличилась на 10,9%.</w:t>
      </w:r>
    </w:p>
    <w:p w:rsidR="00DA3776" w:rsidRPr="000071E6" w:rsidRDefault="0054107C" w:rsidP="00DA3776">
      <w:pPr>
        <w:widowControl w:val="0"/>
        <w:ind w:right="-14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3776" w:rsidRPr="00DA3776">
        <w:rPr>
          <w:rFonts w:ascii="Times New Roman" w:hAnsi="Times New Roman"/>
          <w:sz w:val="24"/>
          <w:szCs w:val="24"/>
        </w:rPr>
        <w:t>Среди цен на платные услуги населению</w:t>
      </w:r>
      <w:r w:rsidR="00DA3776" w:rsidRPr="00DA3776">
        <w:rPr>
          <w:rFonts w:ascii="Times New Roman" w:hAnsi="Times New Roman"/>
          <w:b/>
          <w:sz w:val="24"/>
          <w:szCs w:val="24"/>
        </w:rPr>
        <w:t xml:space="preserve"> </w:t>
      </w:r>
      <w:r w:rsidR="00DA3776" w:rsidRPr="00DA3776">
        <w:rPr>
          <w:rFonts w:ascii="Times New Roman" w:hAnsi="Times New Roman"/>
          <w:sz w:val="24"/>
          <w:szCs w:val="24"/>
        </w:rPr>
        <w:t xml:space="preserve">наибольшее увеличение наблюдалось </w:t>
      </w:r>
      <w:r w:rsidR="004D56AA">
        <w:rPr>
          <w:rFonts w:ascii="Times New Roman" w:hAnsi="Times New Roman"/>
          <w:sz w:val="24"/>
          <w:szCs w:val="24"/>
        </w:rPr>
        <w:t>в сфере</w:t>
      </w:r>
      <w:r w:rsidR="00DA3776" w:rsidRPr="00DA3776">
        <w:rPr>
          <w:rFonts w:ascii="Times New Roman" w:hAnsi="Times New Roman"/>
          <w:sz w:val="24"/>
          <w:szCs w:val="24"/>
        </w:rPr>
        <w:t xml:space="preserve"> </w:t>
      </w:r>
      <w:r w:rsidR="00655C90">
        <w:rPr>
          <w:rFonts w:ascii="Times New Roman" w:hAnsi="Times New Roman"/>
          <w:sz w:val="24"/>
          <w:szCs w:val="24"/>
        </w:rPr>
        <w:t xml:space="preserve">жилищно-коммунальных услуг. Также стоимость </w:t>
      </w:r>
      <w:r w:rsidR="00DA3776" w:rsidRPr="00DA3776">
        <w:rPr>
          <w:rFonts w:ascii="Times New Roman" w:hAnsi="Times New Roman"/>
          <w:sz w:val="24"/>
          <w:szCs w:val="24"/>
        </w:rPr>
        <w:t>проживани</w:t>
      </w:r>
      <w:r w:rsidR="00655C90">
        <w:rPr>
          <w:rFonts w:ascii="Times New Roman" w:hAnsi="Times New Roman"/>
          <w:sz w:val="24"/>
          <w:szCs w:val="24"/>
        </w:rPr>
        <w:t>я</w:t>
      </w:r>
      <w:r w:rsidR="00DA3776" w:rsidRPr="00DA3776">
        <w:rPr>
          <w:rFonts w:ascii="Times New Roman" w:hAnsi="Times New Roman"/>
          <w:sz w:val="24"/>
          <w:szCs w:val="24"/>
        </w:rPr>
        <w:t xml:space="preserve"> в студенческом общежитии </w:t>
      </w:r>
      <w:r w:rsidR="00655C90">
        <w:rPr>
          <w:rFonts w:ascii="Times New Roman" w:hAnsi="Times New Roman"/>
          <w:sz w:val="24"/>
          <w:szCs w:val="24"/>
        </w:rPr>
        <w:t xml:space="preserve">выросла </w:t>
      </w:r>
      <w:r w:rsidR="00DA3776" w:rsidRPr="00DA3776">
        <w:rPr>
          <w:rFonts w:ascii="Times New Roman" w:hAnsi="Times New Roman"/>
          <w:sz w:val="24"/>
          <w:szCs w:val="24"/>
        </w:rPr>
        <w:t>на 39,</w:t>
      </w:r>
      <w:r w:rsidR="00655C90">
        <w:rPr>
          <w:rFonts w:ascii="Times New Roman" w:hAnsi="Times New Roman"/>
          <w:sz w:val="24"/>
          <w:szCs w:val="24"/>
        </w:rPr>
        <w:t>5</w:t>
      </w:r>
      <w:r w:rsidR="00DA3776" w:rsidRPr="00DA3776">
        <w:rPr>
          <w:rFonts w:ascii="Times New Roman" w:hAnsi="Times New Roman"/>
          <w:sz w:val="24"/>
          <w:szCs w:val="24"/>
        </w:rPr>
        <w:t xml:space="preserve">%, </w:t>
      </w:r>
      <w:r w:rsidR="00655C90">
        <w:rPr>
          <w:rFonts w:ascii="Times New Roman" w:hAnsi="Times New Roman"/>
          <w:sz w:val="24"/>
          <w:szCs w:val="24"/>
        </w:rPr>
        <w:t>а</w:t>
      </w:r>
      <w:r w:rsidR="00655C90" w:rsidRPr="00DA3776">
        <w:rPr>
          <w:rFonts w:ascii="Times New Roman" w:hAnsi="Times New Roman"/>
          <w:sz w:val="24"/>
          <w:szCs w:val="24"/>
        </w:rPr>
        <w:t>ренда однокомнатной квартиры у частных лиц</w:t>
      </w:r>
      <w:r w:rsidR="000071E6">
        <w:rPr>
          <w:rFonts w:ascii="Times New Roman" w:hAnsi="Times New Roman"/>
          <w:sz w:val="24"/>
          <w:szCs w:val="24"/>
        </w:rPr>
        <w:t xml:space="preserve"> - </w:t>
      </w:r>
      <w:r w:rsidR="00655C90" w:rsidRPr="00DA3776">
        <w:rPr>
          <w:rFonts w:ascii="Times New Roman" w:hAnsi="Times New Roman"/>
          <w:sz w:val="24"/>
          <w:szCs w:val="24"/>
        </w:rPr>
        <w:t xml:space="preserve">на </w:t>
      </w:r>
      <w:r w:rsidR="00655C90">
        <w:rPr>
          <w:rFonts w:ascii="Times New Roman" w:hAnsi="Times New Roman"/>
          <w:sz w:val="24"/>
          <w:szCs w:val="24"/>
        </w:rPr>
        <w:t>2</w:t>
      </w:r>
      <w:r w:rsidR="00655C90" w:rsidRPr="00DA3776">
        <w:rPr>
          <w:rFonts w:ascii="Times New Roman" w:hAnsi="Times New Roman"/>
          <w:sz w:val="24"/>
          <w:szCs w:val="24"/>
        </w:rPr>
        <w:t>,</w:t>
      </w:r>
      <w:r w:rsidR="00655C90">
        <w:rPr>
          <w:rFonts w:ascii="Times New Roman" w:hAnsi="Times New Roman"/>
          <w:sz w:val="24"/>
          <w:szCs w:val="24"/>
        </w:rPr>
        <w:t xml:space="preserve">1%, </w:t>
      </w:r>
      <w:r w:rsidR="000071E6">
        <w:rPr>
          <w:rFonts w:ascii="Times New Roman" w:hAnsi="Times New Roman"/>
          <w:sz w:val="24"/>
          <w:szCs w:val="24"/>
        </w:rPr>
        <w:t>а</w:t>
      </w:r>
      <w:r w:rsidR="000071E6" w:rsidRPr="000071E6">
        <w:rPr>
          <w:rFonts w:ascii="Times New Roman" w:hAnsi="Times New Roman"/>
          <w:sz w:val="24"/>
          <w:szCs w:val="24"/>
        </w:rPr>
        <w:t>бонентская плата за неограниченный объе</w:t>
      </w:r>
      <w:r w:rsidR="000071E6">
        <w:rPr>
          <w:rFonts w:ascii="Times New Roman" w:hAnsi="Times New Roman"/>
          <w:sz w:val="24"/>
          <w:szCs w:val="24"/>
        </w:rPr>
        <w:t xml:space="preserve">м местных телефонных соединений - на 1,9%. </w:t>
      </w:r>
    </w:p>
    <w:p w:rsidR="00DA3776" w:rsidRDefault="00DA3776" w:rsidP="00DA3776">
      <w:pPr>
        <w:pStyle w:val="a4"/>
        <w:keepNext w:val="0"/>
        <w:widowControl w:val="0"/>
        <w:tabs>
          <w:tab w:val="left" w:pos="567"/>
        </w:tabs>
        <w:spacing w:after="0"/>
        <w:ind w:right="96" w:firstLine="567"/>
        <w:rPr>
          <w:rFonts w:ascii="Times New Roman" w:hAnsi="Times New Roman"/>
          <w:sz w:val="24"/>
          <w:szCs w:val="24"/>
          <w:highlight w:val="yellow"/>
        </w:rPr>
      </w:pPr>
    </w:p>
    <w:p w:rsidR="00DA3776" w:rsidRPr="00DA3776" w:rsidRDefault="00DA3776" w:rsidP="00DA3776">
      <w:pPr>
        <w:keepNext w:val="0"/>
        <w:widowControl w:val="0"/>
        <w:spacing w:before="120" w:line="264" w:lineRule="auto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DA3776">
        <w:rPr>
          <w:rFonts w:ascii="Times New Roman" w:hAnsi="Times New Roman"/>
          <w:b/>
          <w:i/>
          <w:sz w:val="24"/>
          <w:szCs w:val="24"/>
        </w:rPr>
        <w:t>Уровень жизни</w:t>
      </w:r>
    </w:p>
    <w:p w:rsidR="00DA3776" w:rsidRPr="00DA3776" w:rsidRDefault="00DA3776" w:rsidP="00DA3776">
      <w:pPr>
        <w:keepNext w:val="0"/>
        <w:widowControl w:val="0"/>
        <w:tabs>
          <w:tab w:val="left" w:pos="1560"/>
        </w:tabs>
        <w:spacing w:before="120"/>
        <w:rPr>
          <w:rFonts w:ascii="Times New Roman" w:hAnsi="Times New Roman"/>
          <w:sz w:val="24"/>
          <w:szCs w:val="24"/>
          <w:highlight w:val="yellow"/>
        </w:rPr>
        <w:sectPr w:rsidR="00DA3776" w:rsidRPr="00DA3776" w:rsidSect="004D56AA">
          <w:type w:val="continuous"/>
          <w:pgSz w:w="11906" w:h="16838"/>
          <w:pgMar w:top="1134" w:right="746" w:bottom="1134" w:left="1080" w:header="708" w:footer="708" w:gutter="0"/>
          <w:cols w:space="720"/>
          <w:docGrid w:linePitch="360"/>
        </w:sectPr>
      </w:pPr>
    </w:p>
    <w:p w:rsidR="00DA3776" w:rsidRPr="00DA3776" w:rsidRDefault="00DA3776" w:rsidP="00DA3776">
      <w:pPr>
        <w:jc w:val="center"/>
        <w:rPr>
          <w:rFonts w:ascii="Times New Roman" w:hAnsi="Times New Roman"/>
          <w:sz w:val="24"/>
          <w:szCs w:val="24"/>
        </w:rPr>
      </w:pPr>
    </w:p>
    <w:p w:rsidR="00DA3776" w:rsidRPr="00DA3776" w:rsidRDefault="00DA3776" w:rsidP="00DA3776">
      <w:pPr>
        <w:keepNext w:val="0"/>
        <w:widowControl w:val="0"/>
        <w:tabs>
          <w:tab w:val="left" w:pos="1560"/>
        </w:tabs>
        <w:ind w:firstLine="567"/>
        <w:rPr>
          <w:rFonts w:ascii="Times New Roman" w:hAnsi="Times New Roman"/>
          <w:sz w:val="24"/>
          <w:szCs w:val="24"/>
        </w:rPr>
      </w:pPr>
      <w:r w:rsidRPr="00FB54B4">
        <w:rPr>
          <w:rFonts w:ascii="Times New Roman" w:hAnsi="Times New Roman"/>
          <w:sz w:val="24"/>
          <w:szCs w:val="24"/>
        </w:rPr>
        <w:t>Среднемесячная заработная плата работников крупных и средних организаций города за январь-</w:t>
      </w:r>
      <w:r w:rsidR="00FB54B4">
        <w:rPr>
          <w:rFonts w:ascii="Times New Roman" w:hAnsi="Times New Roman"/>
          <w:sz w:val="24"/>
          <w:szCs w:val="24"/>
        </w:rPr>
        <w:t>август</w:t>
      </w:r>
      <w:r w:rsidRPr="00FB54B4">
        <w:rPr>
          <w:rFonts w:ascii="Times New Roman" w:hAnsi="Times New Roman"/>
          <w:sz w:val="24"/>
          <w:szCs w:val="24"/>
        </w:rPr>
        <w:t xml:space="preserve"> 2011 года составила </w:t>
      </w:r>
      <w:r w:rsidR="00FB54B4">
        <w:rPr>
          <w:rFonts w:ascii="Times New Roman" w:hAnsi="Times New Roman"/>
          <w:sz w:val="24"/>
          <w:szCs w:val="24"/>
        </w:rPr>
        <w:t>26 728,5</w:t>
      </w:r>
      <w:r w:rsidRPr="00FB54B4">
        <w:rPr>
          <w:rFonts w:ascii="Times New Roman" w:hAnsi="Times New Roman"/>
          <w:sz w:val="24"/>
          <w:szCs w:val="24"/>
        </w:rPr>
        <w:t xml:space="preserve"> руб. или 1</w:t>
      </w:r>
      <w:r w:rsidR="00FB54B4">
        <w:rPr>
          <w:rFonts w:ascii="Times New Roman" w:hAnsi="Times New Roman"/>
          <w:sz w:val="24"/>
          <w:szCs w:val="24"/>
        </w:rPr>
        <w:t>10</w:t>
      </w:r>
      <w:r w:rsidRPr="00FB54B4">
        <w:rPr>
          <w:rFonts w:ascii="Times New Roman" w:hAnsi="Times New Roman"/>
          <w:sz w:val="24"/>
          <w:szCs w:val="24"/>
        </w:rPr>
        <w:t>,</w:t>
      </w:r>
      <w:r w:rsidR="00FB54B4">
        <w:rPr>
          <w:rFonts w:ascii="Times New Roman" w:hAnsi="Times New Roman"/>
          <w:sz w:val="24"/>
          <w:szCs w:val="24"/>
        </w:rPr>
        <w:t>7</w:t>
      </w:r>
      <w:r w:rsidRPr="00FB54B4">
        <w:rPr>
          <w:rFonts w:ascii="Times New Roman" w:hAnsi="Times New Roman"/>
          <w:sz w:val="24"/>
          <w:szCs w:val="24"/>
        </w:rPr>
        <w:t>% к аналогичному периоду прошлого года.</w:t>
      </w:r>
    </w:p>
    <w:p w:rsidR="00DA3776" w:rsidRPr="00DA3776" w:rsidRDefault="00DA3776" w:rsidP="00DA3776">
      <w:pPr>
        <w:tabs>
          <w:tab w:val="left" w:pos="1560"/>
        </w:tabs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На 1 </w:t>
      </w:r>
      <w:r w:rsidR="001C3A71">
        <w:rPr>
          <w:rFonts w:ascii="Times New Roman" w:hAnsi="Times New Roman"/>
          <w:sz w:val="24"/>
          <w:szCs w:val="24"/>
        </w:rPr>
        <w:t>октября</w:t>
      </w:r>
      <w:r w:rsidRPr="00DA3776">
        <w:rPr>
          <w:rFonts w:ascii="Times New Roman" w:hAnsi="Times New Roman"/>
          <w:sz w:val="24"/>
          <w:szCs w:val="24"/>
        </w:rPr>
        <w:t xml:space="preserve"> 2011 года </w:t>
      </w:r>
      <w:r w:rsidR="001C3A71">
        <w:rPr>
          <w:rFonts w:ascii="Times New Roman" w:hAnsi="Times New Roman"/>
          <w:sz w:val="24"/>
          <w:szCs w:val="24"/>
        </w:rPr>
        <w:t xml:space="preserve">суммарная </w:t>
      </w:r>
      <w:r w:rsidRPr="00DA3776">
        <w:rPr>
          <w:rFonts w:ascii="Times New Roman" w:hAnsi="Times New Roman"/>
          <w:sz w:val="24"/>
          <w:szCs w:val="24"/>
        </w:rPr>
        <w:t xml:space="preserve">просроченная задолженность по заработной плате </w:t>
      </w:r>
      <w:r w:rsidR="00110F82">
        <w:rPr>
          <w:rFonts w:ascii="Times New Roman" w:hAnsi="Times New Roman"/>
          <w:sz w:val="24"/>
          <w:szCs w:val="24"/>
        </w:rPr>
        <w:t xml:space="preserve">на предприятиях </w:t>
      </w:r>
      <w:r w:rsidRPr="00110F82">
        <w:rPr>
          <w:rFonts w:ascii="Times New Roman" w:hAnsi="Times New Roman"/>
          <w:sz w:val="24"/>
          <w:szCs w:val="24"/>
        </w:rPr>
        <w:t>города</w:t>
      </w:r>
      <w:r w:rsidRPr="00DA3776">
        <w:rPr>
          <w:rFonts w:ascii="Times New Roman" w:hAnsi="Times New Roman"/>
          <w:sz w:val="24"/>
          <w:szCs w:val="24"/>
        </w:rPr>
        <w:t xml:space="preserve"> </w:t>
      </w:r>
      <w:r w:rsidR="00160EDF">
        <w:rPr>
          <w:rFonts w:ascii="Times New Roman" w:hAnsi="Times New Roman"/>
          <w:sz w:val="24"/>
          <w:szCs w:val="24"/>
        </w:rPr>
        <w:t>составила</w:t>
      </w:r>
      <w:r w:rsidRPr="00DA3776">
        <w:rPr>
          <w:rFonts w:ascii="Times New Roman" w:hAnsi="Times New Roman"/>
          <w:sz w:val="24"/>
          <w:szCs w:val="24"/>
        </w:rPr>
        <w:t xml:space="preserve"> </w:t>
      </w:r>
      <w:r w:rsidR="001C3A71">
        <w:rPr>
          <w:rFonts w:ascii="Times New Roman" w:hAnsi="Times New Roman"/>
          <w:sz w:val="24"/>
          <w:szCs w:val="24"/>
        </w:rPr>
        <w:t>63</w:t>
      </w:r>
      <w:r w:rsidRPr="00DA3776">
        <w:rPr>
          <w:rFonts w:ascii="Times New Roman" w:hAnsi="Times New Roman"/>
          <w:sz w:val="24"/>
          <w:szCs w:val="24"/>
        </w:rPr>
        <w:t>,</w:t>
      </w:r>
      <w:r w:rsidR="001C3A71">
        <w:rPr>
          <w:rFonts w:ascii="Times New Roman" w:hAnsi="Times New Roman"/>
          <w:sz w:val="24"/>
          <w:szCs w:val="24"/>
        </w:rPr>
        <w:t>5</w:t>
      </w:r>
      <w:r w:rsidRPr="00DA3776">
        <w:rPr>
          <w:rFonts w:ascii="Times New Roman" w:hAnsi="Times New Roman"/>
          <w:sz w:val="24"/>
          <w:szCs w:val="24"/>
        </w:rPr>
        <w:t xml:space="preserve"> млн</w:t>
      </w:r>
      <w:r w:rsidR="00F25E8F">
        <w:rPr>
          <w:rFonts w:ascii="Times New Roman" w:hAnsi="Times New Roman"/>
          <w:sz w:val="24"/>
          <w:szCs w:val="24"/>
        </w:rPr>
        <w:t>.</w:t>
      </w:r>
      <w:r w:rsidRPr="00DA3776">
        <w:rPr>
          <w:rFonts w:ascii="Times New Roman" w:hAnsi="Times New Roman"/>
          <w:sz w:val="24"/>
          <w:szCs w:val="24"/>
        </w:rPr>
        <w:t xml:space="preserve"> рублей</w:t>
      </w:r>
      <w:r w:rsidR="00110F82">
        <w:rPr>
          <w:rFonts w:ascii="Times New Roman" w:hAnsi="Times New Roman"/>
          <w:sz w:val="24"/>
          <w:szCs w:val="24"/>
        </w:rPr>
        <w:t>.</w:t>
      </w:r>
    </w:p>
    <w:p w:rsidR="00DA3776" w:rsidRDefault="00DA3776" w:rsidP="00DA3776">
      <w:pPr>
        <w:keepNext w:val="0"/>
        <w:widowControl w:val="0"/>
        <w:ind w:firstLine="567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Средний размер назначенных месячных пенсий на 1 </w:t>
      </w:r>
      <w:r w:rsidR="00FB54B4">
        <w:rPr>
          <w:rFonts w:ascii="Times New Roman" w:hAnsi="Times New Roman"/>
          <w:sz w:val="24"/>
          <w:szCs w:val="24"/>
        </w:rPr>
        <w:t>октября</w:t>
      </w:r>
      <w:r w:rsidRPr="00DA3776">
        <w:rPr>
          <w:rFonts w:ascii="Times New Roman" w:hAnsi="Times New Roman"/>
          <w:sz w:val="24"/>
          <w:szCs w:val="24"/>
        </w:rPr>
        <w:t xml:space="preserve"> 2011 года составил </w:t>
      </w:r>
      <w:r w:rsidRPr="005F5233">
        <w:rPr>
          <w:rFonts w:ascii="Times New Roman" w:hAnsi="Times New Roman"/>
          <w:sz w:val="24"/>
          <w:szCs w:val="24"/>
        </w:rPr>
        <w:t>8 </w:t>
      </w:r>
      <w:r w:rsidR="005F5233" w:rsidRPr="005F5233">
        <w:rPr>
          <w:rFonts w:ascii="Times New Roman" w:hAnsi="Times New Roman"/>
          <w:sz w:val="24"/>
          <w:szCs w:val="24"/>
        </w:rPr>
        <w:t>910</w:t>
      </w:r>
      <w:r w:rsidRPr="005F5233">
        <w:rPr>
          <w:rFonts w:ascii="Times New Roman" w:hAnsi="Times New Roman"/>
          <w:sz w:val="24"/>
          <w:szCs w:val="24"/>
        </w:rPr>
        <w:t>,</w:t>
      </w:r>
      <w:r w:rsidR="005F5233" w:rsidRPr="005F5233">
        <w:rPr>
          <w:rFonts w:ascii="Times New Roman" w:hAnsi="Times New Roman"/>
          <w:sz w:val="24"/>
          <w:szCs w:val="24"/>
        </w:rPr>
        <w:t>4</w:t>
      </w:r>
      <w:r w:rsidRPr="005F5233">
        <w:rPr>
          <w:rFonts w:ascii="Times New Roman" w:hAnsi="Times New Roman"/>
          <w:sz w:val="24"/>
          <w:szCs w:val="24"/>
        </w:rPr>
        <w:t> руб.,</w:t>
      </w:r>
      <w:r w:rsidRPr="00DA3776">
        <w:rPr>
          <w:rFonts w:ascii="Times New Roman" w:hAnsi="Times New Roman"/>
          <w:sz w:val="24"/>
          <w:szCs w:val="24"/>
        </w:rPr>
        <w:t xml:space="preserve"> реальный рост по сравнению с 1 </w:t>
      </w:r>
      <w:r w:rsidR="00FB54B4">
        <w:rPr>
          <w:rFonts w:ascii="Times New Roman" w:hAnsi="Times New Roman"/>
          <w:sz w:val="24"/>
          <w:szCs w:val="24"/>
        </w:rPr>
        <w:t xml:space="preserve">октября </w:t>
      </w:r>
      <w:r w:rsidRPr="00DA3776">
        <w:rPr>
          <w:rFonts w:ascii="Times New Roman" w:hAnsi="Times New Roman"/>
          <w:sz w:val="24"/>
          <w:szCs w:val="24"/>
        </w:rPr>
        <w:t xml:space="preserve">2010 года – </w:t>
      </w:r>
      <w:r w:rsidR="00BF1CBD" w:rsidRPr="00BF1CBD">
        <w:rPr>
          <w:rFonts w:ascii="Times New Roman" w:hAnsi="Times New Roman"/>
          <w:sz w:val="24"/>
          <w:szCs w:val="24"/>
        </w:rPr>
        <w:t>0</w:t>
      </w:r>
      <w:r w:rsidRPr="00BF1CBD">
        <w:rPr>
          <w:rFonts w:ascii="Times New Roman" w:hAnsi="Times New Roman"/>
          <w:sz w:val="24"/>
          <w:szCs w:val="24"/>
        </w:rPr>
        <w:t>,</w:t>
      </w:r>
      <w:r w:rsidR="00BF1CBD" w:rsidRPr="00BF1CBD">
        <w:rPr>
          <w:rFonts w:ascii="Times New Roman" w:hAnsi="Times New Roman"/>
          <w:sz w:val="24"/>
          <w:szCs w:val="24"/>
        </w:rPr>
        <w:t>9</w:t>
      </w:r>
      <w:r w:rsidRPr="00BF1CBD">
        <w:rPr>
          <w:rFonts w:ascii="Times New Roman" w:hAnsi="Times New Roman"/>
          <w:sz w:val="24"/>
          <w:szCs w:val="24"/>
        </w:rPr>
        <w:t>%.</w:t>
      </w:r>
    </w:p>
    <w:p w:rsidR="00110F82" w:rsidRDefault="00110F82" w:rsidP="00DA3776">
      <w:pPr>
        <w:keepNext w:val="0"/>
        <w:widowControl w:val="0"/>
        <w:ind w:firstLine="567"/>
        <w:rPr>
          <w:rFonts w:ascii="Times New Roman" w:hAnsi="Times New Roman"/>
          <w:sz w:val="24"/>
          <w:szCs w:val="24"/>
        </w:rPr>
      </w:pPr>
    </w:p>
    <w:p w:rsidR="00110F82" w:rsidRDefault="00110F82" w:rsidP="00DA3776">
      <w:pPr>
        <w:keepNext w:val="0"/>
        <w:widowControl w:val="0"/>
        <w:ind w:firstLine="567"/>
        <w:rPr>
          <w:rFonts w:ascii="Times New Roman" w:hAnsi="Times New Roman"/>
          <w:sz w:val="24"/>
          <w:szCs w:val="24"/>
        </w:rPr>
      </w:pPr>
    </w:p>
    <w:p w:rsidR="00DA3776" w:rsidRPr="00DA3776" w:rsidRDefault="00DA3776" w:rsidP="00DA3776">
      <w:pPr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A3776">
        <w:rPr>
          <w:rFonts w:ascii="Times New Roman" w:hAnsi="Times New Roman"/>
          <w:b/>
          <w:sz w:val="24"/>
          <w:szCs w:val="24"/>
        </w:rPr>
        <w:lastRenderedPageBreak/>
        <w:t xml:space="preserve">Показатели уровня жизни населения </w:t>
      </w:r>
    </w:p>
    <w:tbl>
      <w:tblPr>
        <w:tblW w:w="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82"/>
        <w:gridCol w:w="1012"/>
        <w:gridCol w:w="1113"/>
      </w:tblGrid>
      <w:tr w:rsidR="00DA3776" w:rsidRPr="00DA3776" w:rsidTr="00110F82">
        <w:trPr>
          <w:trHeight w:val="303"/>
        </w:trPr>
        <w:tc>
          <w:tcPr>
            <w:tcW w:w="3182" w:type="dxa"/>
            <w:shd w:val="clear" w:color="auto" w:fill="CCFFCC"/>
            <w:vAlign w:val="center"/>
          </w:tcPr>
          <w:p w:rsidR="00DA3776" w:rsidRPr="00DA3776" w:rsidRDefault="00DA3776" w:rsidP="004D56AA">
            <w:pPr>
              <w:widowControl w:val="0"/>
              <w:tabs>
                <w:tab w:val="left" w:pos="4592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12" w:type="dxa"/>
            <w:shd w:val="clear" w:color="auto" w:fill="CCFFCC"/>
            <w:vAlign w:val="center"/>
          </w:tcPr>
          <w:p w:rsidR="00DA3776" w:rsidRPr="00DA3776" w:rsidRDefault="001C3A71" w:rsidP="004D56A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 w:rsidR="00DA3776"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>кв. 2010г.</w:t>
            </w:r>
          </w:p>
        </w:tc>
        <w:tc>
          <w:tcPr>
            <w:tcW w:w="1113" w:type="dxa"/>
            <w:shd w:val="clear" w:color="auto" w:fill="CCFFCC"/>
            <w:vAlign w:val="center"/>
          </w:tcPr>
          <w:p w:rsidR="00DA3776" w:rsidRPr="00DA3776" w:rsidRDefault="001C3A71" w:rsidP="004D56AA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A3776"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кв. 2011г.</w:t>
            </w:r>
          </w:p>
        </w:tc>
      </w:tr>
      <w:tr w:rsidR="00DA3776" w:rsidRPr="00DA3776" w:rsidTr="00110F82">
        <w:trPr>
          <w:trHeight w:val="376"/>
        </w:trPr>
        <w:tc>
          <w:tcPr>
            <w:tcW w:w="3182" w:type="dxa"/>
            <w:shd w:val="clear" w:color="auto" w:fill="auto"/>
            <w:vAlign w:val="center"/>
          </w:tcPr>
          <w:p w:rsidR="00DA3776" w:rsidRPr="00DA3776" w:rsidRDefault="00DA3776" w:rsidP="001C3A71">
            <w:pPr>
              <w:keepNext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(январь-</w:t>
            </w:r>
            <w:r w:rsidR="001C3A71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DA3776">
              <w:rPr>
                <w:rFonts w:ascii="Times New Roman" w:hAnsi="Times New Roman"/>
                <w:sz w:val="24"/>
                <w:szCs w:val="24"/>
              </w:rPr>
              <w:t>),</w:t>
            </w:r>
            <w:r w:rsidRPr="00DA3776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A3776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A3776" w:rsidRPr="00110F82" w:rsidRDefault="00160EDF" w:rsidP="004D56AA">
            <w:pPr>
              <w:keepNext w:val="0"/>
              <w:ind w:firstLine="0"/>
              <w:jc w:val="right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110F82">
              <w:rPr>
                <w:rFonts w:ascii="Times New Roman" w:hAnsi="Times New Roman"/>
                <w:sz w:val="22"/>
                <w:szCs w:val="22"/>
              </w:rPr>
              <w:t>23 972,9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A3776" w:rsidRPr="00110F82" w:rsidRDefault="00FB54B4" w:rsidP="00655C90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110F82">
              <w:rPr>
                <w:rFonts w:ascii="Times New Roman" w:hAnsi="Times New Roman"/>
                <w:sz w:val="22"/>
                <w:szCs w:val="22"/>
              </w:rPr>
              <w:t>26728,5</w:t>
            </w:r>
          </w:p>
        </w:tc>
      </w:tr>
      <w:tr w:rsidR="00DA3776" w:rsidRPr="00DA3776" w:rsidTr="00110F82">
        <w:trPr>
          <w:trHeight w:val="268"/>
        </w:trPr>
        <w:tc>
          <w:tcPr>
            <w:tcW w:w="3182" w:type="dxa"/>
            <w:shd w:val="clear" w:color="auto" w:fill="auto"/>
            <w:vAlign w:val="center"/>
          </w:tcPr>
          <w:p w:rsidR="00DA3776" w:rsidRPr="00DA3776" w:rsidRDefault="00DA3776" w:rsidP="004D56AA">
            <w:pPr>
              <w:keepNext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Средний размер назначенных месячных пенсий, руб.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A3776" w:rsidRPr="00110F82" w:rsidRDefault="00160EDF" w:rsidP="004D56AA">
            <w:pPr>
              <w:keepNext w:val="0"/>
              <w:ind w:firstLine="0"/>
              <w:jc w:val="right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110F82">
              <w:rPr>
                <w:rFonts w:ascii="Times New Roman" w:hAnsi="Times New Roman"/>
                <w:sz w:val="22"/>
                <w:szCs w:val="22"/>
              </w:rPr>
              <w:t>8 163,7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A3776" w:rsidRPr="00110F82" w:rsidRDefault="00DA3776" w:rsidP="005F5233">
            <w:pPr>
              <w:keepNext w:val="0"/>
              <w:ind w:firstLine="0"/>
              <w:jc w:val="right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5F5233">
              <w:rPr>
                <w:rFonts w:ascii="Times New Roman" w:hAnsi="Times New Roman"/>
                <w:sz w:val="22"/>
                <w:szCs w:val="22"/>
              </w:rPr>
              <w:t>8</w:t>
            </w:r>
            <w:r w:rsidR="005F5233" w:rsidRPr="005F5233">
              <w:rPr>
                <w:rFonts w:ascii="Times New Roman" w:hAnsi="Times New Roman"/>
                <w:sz w:val="22"/>
                <w:szCs w:val="22"/>
              </w:rPr>
              <w:t> 910,4</w:t>
            </w:r>
          </w:p>
        </w:tc>
      </w:tr>
      <w:tr w:rsidR="00DA3776" w:rsidRPr="00DA3776" w:rsidTr="00110F82">
        <w:trPr>
          <w:trHeight w:val="268"/>
        </w:trPr>
        <w:tc>
          <w:tcPr>
            <w:tcW w:w="3182" w:type="dxa"/>
            <w:shd w:val="clear" w:color="auto" w:fill="auto"/>
            <w:vAlign w:val="center"/>
          </w:tcPr>
          <w:p w:rsidR="00DA3776" w:rsidRPr="00DA3776" w:rsidRDefault="00DA3776" w:rsidP="004D56AA">
            <w:pPr>
              <w:keepNext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Реальный размер начисленных пенсий, % к соответствующему периоду предыдущего года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A3776" w:rsidRPr="00110F82" w:rsidRDefault="001D2038" w:rsidP="004D56AA">
            <w:pPr>
              <w:keepNext w:val="0"/>
              <w:ind w:firstLine="0"/>
              <w:jc w:val="right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110F82">
              <w:rPr>
                <w:rFonts w:ascii="Times New Roman" w:hAnsi="Times New Roman"/>
                <w:sz w:val="22"/>
                <w:szCs w:val="22"/>
              </w:rPr>
              <w:t>130,8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A3776" w:rsidRPr="00110F82" w:rsidRDefault="00DA3776" w:rsidP="00CD2BD6">
            <w:pPr>
              <w:keepNext w:val="0"/>
              <w:ind w:firstLine="0"/>
              <w:jc w:val="right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CD2BD6">
              <w:rPr>
                <w:rFonts w:ascii="Times New Roman" w:hAnsi="Times New Roman"/>
                <w:sz w:val="22"/>
                <w:szCs w:val="22"/>
              </w:rPr>
              <w:t>10</w:t>
            </w:r>
            <w:r w:rsidR="00CD2BD6" w:rsidRPr="00CD2BD6">
              <w:rPr>
                <w:rFonts w:ascii="Times New Roman" w:hAnsi="Times New Roman"/>
                <w:sz w:val="22"/>
                <w:szCs w:val="22"/>
              </w:rPr>
              <w:t>0</w:t>
            </w:r>
            <w:r w:rsidRPr="00CD2BD6">
              <w:rPr>
                <w:rFonts w:ascii="Times New Roman" w:hAnsi="Times New Roman"/>
                <w:sz w:val="22"/>
                <w:szCs w:val="22"/>
              </w:rPr>
              <w:t>,</w:t>
            </w:r>
            <w:r w:rsidR="00CD2BD6" w:rsidRPr="00CD2BD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A3776" w:rsidRPr="00DA3776" w:rsidTr="00110F82">
        <w:trPr>
          <w:trHeight w:val="241"/>
        </w:trPr>
        <w:tc>
          <w:tcPr>
            <w:tcW w:w="3182" w:type="dxa"/>
            <w:shd w:val="clear" w:color="auto" w:fill="auto"/>
            <w:vAlign w:val="center"/>
          </w:tcPr>
          <w:p w:rsidR="00DA3776" w:rsidRPr="00DA3776" w:rsidRDefault="00DA3776" w:rsidP="004D56AA">
            <w:pPr>
              <w:keepNext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Прожиточный минимум, руб.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DA3776" w:rsidRPr="00110F82" w:rsidRDefault="001D2038" w:rsidP="004D56AA">
            <w:pPr>
              <w:keepNext w:val="0"/>
              <w:ind w:firstLine="0"/>
              <w:jc w:val="right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110F82">
              <w:rPr>
                <w:rFonts w:ascii="Times New Roman" w:hAnsi="Times New Roman"/>
                <w:sz w:val="22"/>
                <w:szCs w:val="22"/>
              </w:rPr>
              <w:t>5 910,0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A3776" w:rsidRPr="00110F82" w:rsidRDefault="00DA3776" w:rsidP="004F1B7A">
            <w:pPr>
              <w:keepNext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4F1B7A">
              <w:rPr>
                <w:rFonts w:ascii="Times New Roman" w:hAnsi="Times New Roman"/>
                <w:sz w:val="22"/>
                <w:szCs w:val="22"/>
              </w:rPr>
              <w:t xml:space="preserve">6 </w:t>
            </w:r>
            <w:r w:rsidR="004F1B7A" w:rsidRPr="004F1B7A">
              <w:rPr>
                <w:rFonts w:ascii="Times New Roman" w:hAnsi="Times New Roman"/>
                <w:sz w:val="22"/>
                <w:szCs w:val="22"/>
              </w:rPr>
              <w:t>5</w:t>
            </w:r>
            <w:r w:rsidRPr="004F1B7A">
              <w:rPr>
                <w:rFonts w:ascii="Times New Roman" w:hAnsi="Times New Roman"/>
                <w:sz w:val="22"/>
                <w:szCs w:val="22"/>
              </w:rPr>
              <w:t>60,0</w:t>
            </w:r>
          </w:p>
        </w:tc>
      </w:tr>
      <w:tr w:rsidR="00DA3776" w:rsidRPr="00DA3776" w:rsidTr="00110F82">
        <w:trPr>
          <w:trHeight w:val="266"/>
        </w:trPr>
        <w:tc>
          <w:tcPr>
            <w:tcW w:w="3182" w:type="dxa"/>
            <w:shd w:val="clear" w:color="auto" w:fill="auto"/>
            <w:vAlign w:val="center"/>
          </w:tcPr>
          <w:p w:rsidR="00DA3776" w:rsidRPr="00DA3776" w:rsidRDefault="00DA3776" w:rsidP="001C3A71">
            <w:pPr>
              <w:keepNext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Стоимость минимального набора продуктов питания в </w:t>
            </w:r>
            <w:r w:rsidR="001C3A71">
              <w:rPr>
                <w:rFonts w:ascii="Times New Roman" w:hAnsi="Times New Roman"/>
                <w:sz w:val="24"/>
                <w:szCs w:val="24"/>
              </w:rPr>
              <w:t>сентябре</w:t>
            </w:r>
            <w:r w:rsidRPr="00DA3776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012" w:type="dxa"/>
            <w:vAlign w:val="center"/>
          </w:tcPr>
          <w:p w:rsidR="00DA3776" w:rsidRPr="00110F82" w:rsidRDefault="001D2038" w:rsidP="004D56AA">
            <w:pPr>
              <w:keepNext w:val="0"/>
              <w:ind w:firstLine="0"/>
              <w:jc w:val="right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110F82">
              <w:rPr>
                <w:rFonts w:ascii="Times New Roman" w:hAnsi="Times New Roman"/>
                <w:sz w:val="22"/>
                <w:szCs w:val="22"/>
              </w:rPr>
              <w:t>2 402,5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A3776" w:rsidRPr="00110F82" w:rsidRDefault="001C3A71" w:rsidP="004D56AA">
            <w:pPr>
              <w:keepNext w:val="0"/>
              <w:ind w:firstLine="0"/>
              <w:jc w:val="right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110F82">
              <w:rPr>
                <w:rFonts w:ascii="Times New Roman" w:hAnsi="Times New Roman"/>
                <w:sz w:val="22"/>
                <w:szCs w:val="22"/>
              </w:rPr>
              <w:t>2 555,4</w:t>
            </w:r>
          </w:p>
        </w:tc>
      </w:tr>
    </w:tbl>
    <w:p w:rsidR="00DA3776" w:rsidRPr="00DA3776" w:rsidRDefault="00DA3776" w:rsidP="00DA3776">
      <w:pPr>
        <w:keepNext w:val="0"/>
        <w:widowControl w:val="0"/>
        <w:tabs>
          <w:tab w:val="left" w:pos="0"/>
        </w:tabs>
        <w:ind w:firstLine="567"/>
        <w:rPr>
          <w:rFonts w:ascii="Times New Roman" w:hAnsi="Times New Roman"/>
          <w:sz w:val="24"/>
          <w:szCs w:val="24"/>
          <w:highlight w:val="yellow"/>
        </w:rPr>
      </w:pPr>
    </w:p>
    <w:p w:rsidR="00DA3776" w:rsidRPr="00DA3776" w:rsidRDefault="00DA3776" w:rsidP="00DA3776">
      <w:pPr>
        <w:keepNext w:val="0"/>
        <w:widowControl w:val="0"/>
        <w:tabs>
          <w:tab w:val="left" w:pos="0"/>
        </w:tabs>
        <w:ind w:firstLine="567"/>
        <w:rPr>
          <w:rFonts w:ascii="Times New Roman" w:hAnsi="Times New Roman"/>
          <w:sz w:val="24"/>
          <w:szCs w:val="24"/>
          <w:highlight w:val="yellow"/>
        </w:rPr>
        <w:sectPr w:rsidR="00DA3776" w:rsidRPr="00DA3776" w:rsidSect="009F34B5">
          <w:type w:val="continuous"/>
          <w:pgSz w:w="11906" w:h="16838"/>
          <w:pgMar w:top="1134" w:right="746" w:bottom="1134" w:left="1080" w:header="708" w:footer="708" w:gutter="0"/>
          <w:cols w:num="2" w:space="518"/>
          <w:docGrid w:linePitch="360"/>
        </w:sectPr>
      </w:pPr>
    </w:p>
    <w:p w:rsidR="00DA3776" w:rsidRPr="00DA3776" w:rsidRDefault="00C00558" w:rsidP="00DA377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C00558">
        <w:rPr>
          <w:rFonts w:ascii="Times New Roman" w:hAnsi="Times New Roman"/>
          <w:b/>
          <w:noProof/>
          <w:sz w:val="24"/>
          <w:szCs w:val="24"/>
          <w:highlight w:val="yellow"/>
        </w:rPr>
        <w:lastRenderedPageBreak/>
        <w:drawing>
          <wp:inline distT="0" distB="0" distL="0" distR="0">
            <wp:extent cx="6400800" cy="3087254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3776" w:rsidRPr="00DA3776" w:rsidRDefault="00DA3776" w:rsidP="00DA3776">
      <w:pPr>
        <w:pStyle w:val="11"/>
        <w:keepNext w:val="0"/>
        <w:widowControl/>
        <w:jc w:val="center"/>
        <w:rPr>
          <w:sz w:val="24"/>
          <w:szCs w:val="24"/>
        </w:rPr>
      </w:pPr>
      <w:r w:rsidRPr="00DA3776">
        <w:rPr>
          <w:b/>
          <w:i/>
          <w:sz w:val="24"/>
          <w:szCs w:val="24"/>
        </w:rPr>
        <w:lastRenderedPageBreak/>
        <w:t>Рынок труда</w:t>
      </w:r>
    </w:p>
    <w:p w:rsidR="00DA3776" w:rsidRPr="00DA3776" w:rsidRDefault="00DA3776" w:rsidP="00DA3776">
      <w:pPr>
        <w:keepNext w:val="0"/>
        <w:widowControl w:val="0"/>
        <w:ind w:firstLine="0"/>
        <w:rPr>
          <w:rFonts w:ascii="Times New Roman" w:hAnsi="Times New Roman"/>
          <w:b/>
          <w:sz w:val="24"/>
          <w:szCs w:val="24"/>
        </w:rPr>
        <w:sectPr w:rsidR="00DA3776" w:rsidRPr="00DA3776" w:rsidSect="004D56AA">
          <w:type w:val="continuous"/>
          <w:pgSz w:w="11906" w:h="16838"/>
          <w:pgMar w:top="1134" w:right="746" w:bottom="1134" w:left="1080" w:header="708" w:footer="708" w:gutter="0"/>
          <w:cols w:space="720"/>
          <w:docGrid w:linePitch="360"/>
        </w:sectPr>
      </w:pPr>
    </w:p>
    <w:p w:rsidR="00DA3776" w:rsidRPr="00DA3776" w:rsidRDefault="00DA3776" w:rsidP="00DA3776">
      <w:pPr>
        <w:keepNext w:val="0"/>
        <w:widowControl w:val="0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A3776" w:rsidRPr="00DA3776" w:rsidRDefault="00DA3776" w:rsidP="00DA3776">
      <w:pPr>
        <w:pStyle w:val="11"/>
        <w:keepNext w:val="0"/>
        <w:widowControl/>
        <w:rPr>
          <w:sz w:val="24"/>
          <w:szCs w:val="24"/>
        </w:rPr>
      </w:pPr>
    </w:p>
    <w:p w:rsidR="00DA3776" w:rsidRPr="00DA3776" w:rsidRDefault="00DA3776" w:rsidP="00DA3776">
      <w:pPr>
        <w:pStyle w:val="11"/>
        <w:keepNext w:val="0"/>
        <w:widowControl/>
        <w:rPr>
          <w:sz w:val="24"/>
          <w:szCs w:val="24"/>
        </w:rPr>
        <w:sectPr w:rsidR="00DA3776" w:rsidRPr="00DA3776" w:rsidSect="004D56AA">
          <w:type w:val="continuous"/>
          <w:pgSz w:w="11906" w:h="16838"/>
          <w:pgMar w:top="1134" w:right="746" w:bottom="1134" w:left="1080" w:header="708" w:footer="708" w:gutter="0"/>
          <w:cols w:num="2" w:space="720"/>
          <w:docGrid w:linePitch="360"/>
        </w:sectPr>
      </w:pPr>
    </w:p>
    <w:p w:rsidR="00DA3776" w:rsidRPr="00DA3776" w:rsidRDefault="00DA3776" w:rsidP="00DA3776">
      <w:pPr>
        <w:pStyle w:val="11"/>
        <w:keepNext w:val="0"/>
        <w:rPr>
          <w:sz w:val="24"/>
          <w:szCs w:val="24"/>
        </w:rPr>
      </w:pPr>
    </w:p>
    <w:p w:rsidR="00DA3776" w:rsidRPr="00DA3776" w:rsidRDefault="00212198" w:rsidP="00DA3776">
      <w:pPr>
        <w:pStyle w:val="11"/>
        <w:keepNext w:val="0"/>
        <w:rPr>
          <w:snapToGrid/>
          <w:sz w:val="24"/>
          <w:szCs w:val="24"/>
        </w:rPr>
      </w:pPr>
      <w:r>
        <w:rPr>
          <w:sz w:val="24"/>
          <w:szCs w:val="24"/>
        </w:rPr>
        <w:t>На 01.10</w:t>
      </w:r>
      <w:r w:rsidR="00DA3776" w:rsidRPr="00DA3776">
        <w:rPr>
          <w:sz w:val="24"/>
          <w:szCs w:val="24"/>
        </w:rPr>
        <w:t xml:space="preserve">.2011 в органах  государственной службы занятости  состояло  на учете  </w:t>
      </w:r>
      <w:r>
        <w:rPr>
          <w:sz w:val="24"/>
          <w:szCs w:val="24"/>
        </w:rPr>
        <w:t>5</w:t>
      </w:r>
      <w:r w:rsidR="00DA3776" w:rsidRPr="00DA3776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="00DA3776" w:rsidRPr="00DA3776">
        <w:rPr>
          <w:sz w:val="24"/>
          <w:szCs w:val="24"/>
        </w:rPr>
        <w:t xml:space="preserve"> тыс. незанятых граждан, ищущих работу. Статус безработного имели </w:t>
      </w:r>
      <w:r>
        <w:rPr>
          <w:sz w:val="24"/>
          <w:szCs w:val="24"/>
        </w:rPr>
        <w:t>4</w:t>
      </w:r>
      <w:r w:rsidR="00DA3776" w:rsidRPr="00DA3776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="00DA3776" w:rsidRPr="00DA3776">
        <w:rPr>
          <w:sz w:val="24"/>
          <w:szCs w:val="24"/>
        </w:rPr>
        <w:t xml:space="preserve"> тыс. человек. </w:t>
      </w:r>
      <w:r w:rsidR="0054700A" w:rsidRPr="0054700A">
        <w:rPr>
          <w:snapToGrid/>
          <w:sz w:val="24"/>
          <w:szCs w:val="24"/>
        </w:rPr>
        <w:t>В</w:t>
      </w:r>
      <w:r w:rsidR="00DA3776" w:rsidRPr="0054700A">
        <w:rPr>
          <w:snapToGrid/>
          <w:sz w:val="24"/>
          <w:szCs w:val="24"/>
        </w:rPr>
        <w:t xml:space="preserve"> январ</w:t>
      </w:r>
      <w:r w:rsidR="0054700A" w:rsidRPr="0054700A">
        <w:rPr>
          <w:snapToGrid/>
          <w:sz w:val="24"/>
          <w:szCs w:val="24"/>
        </w:rPr>
        <w:t>е</w:t>
      </w:r>
      <w:r w:rsidR="00DA3776" w:rsidRPr="0054700A">
        <w:rPr>
          <w:snapToGrid/>
          <w:sz w:val="24"/>
          <w:szCs w:val="24"/>
        </w:rPr>
        <w:t>-</w:t>
      </w:r>
      <w:r w:rsidRPr="0054700A">
        <w:rPr>
          <w:snapToGrid/>
          <w:sz w:val="24"/>
          <w:szCs w:val="24"/>
        </w:rPr>
        <w:t>сентябр</w:t>
      </w:r>
      <w:r w:rsidR="0054700A" w:rsidRPr="0054700A">
        <w:rPr>
          <w:snapToGrid/>
          <w:sz w:val="24"/>
          <w:szCs w:val="24"/>
        </w:rPr>
        <w:t>е</w:t>
      </w:r>
      <w:r w:rsidR="00DA3776" w:rsidRPr="0054700A">
        <w:rPr>
          <w:snapToGrid/>
          <w:sz w:val="24"/>
          <w:szCs w:val="24"/>
        </w:rPr>
        <w:t xml:space="preserve"> 2011 года признано безработными </w:t>
      </w:r>
      <w:r w:rsidR="0054700A" w:rsidRPr="0054700A">
        <w:rPr>
          <w:snapToGrid/>
          <w:sz w:val="24"/>
          <w:szCs w:val="24"/>
        </w:rPr>
        <w:t>9</w:t>
      </w:r>
      <w:r w:rsidR="00DA3776" w:rsidRPr="0054700A">
        <w:rPr>
          <w:snapToGrid/>
          <w:sz w:val="24"/>
          <w:szCs w:val="24"/>
        </w:rPr>
        <w:t>,</w:t>
      </w:r>
      <w:r w:rsidR="0054700A">
        <w:rPr>
          <w:snapToGrid/>
          <w:sz w:val="24"/>
          <w:szCs w:val="24"/>
        </w:rPr>
        <w:t>5</w:t>
      </w:r>
      <w:r w:rsidR="00DA3776" w:rsidRPr="0054700A">
        <w:rPr>
          <w:snapToGrid/>
          <w:sz w:val="24"/>
          <w:szCs w:val="24"/>
        </w:rPr>
        <w:t xml:space="preserve"> тыс. человек, что на </w:t>
      </w:r>
      <w:r w:rsidR="0054700A">
        <w:rPr>
          <w:snapToGrid/>
          <w:sz w:val="24"/>
          <w:szCs w:val="24"/>
        </w:rPr>
        <w:t xml:space="preserve">8% меньше </w:t>
      </w:r>
      <w:r w:rsidR="00DA3776" w:rsidRPr="0054700A">
        <w:rPr>
          <w:snapToGrid/>
          <w:sz w:val="24"/>
          <w:szCs w:val="24"/>
        </w:rPr>
        <w:t>уровн</w:t>
      </w:r>
      <w:r w:rsidR="0054700A">
        <w:rPr>
          <w:snapToGrid/>
          <w:sz w:val="24"/>
          <w:szCs w:val="24"/>
        </w:rPr>
        <w:t>я</w:t>
      </w:r>
      <w:r w:rsidR="00DA3776" w:rsidRPr="0054700A">
        <w:rPr>
          <w:snapToGrid/>
          <w:sz w:val="24"/>
          <w:szCs w:val="24"/>
        </w:rPr>
        <w:t xml:space="preserve"> аналогичного периода прошлого года.</w:t>
      </w:r>
      <w:r w:rsidR="0054700A">
        <w:rPr>
          <w:snapToGrid/>
          <w:sz w:val="24"/>
          <w:szCs w:val="24"/>
        </w:rPr>
        <w:t xml:space="preserve"> </w:t>
      </w:r>
      <w:r w:rsidR="00DA3776" w:rsidRPr="0054700A">
        <w:rPr>
          <w:snapToGrid/>
          <w:sz w:val="24"/>
          <w:szCs w:val="24"/>
        </w:rPr>
        <w:t xml:space="preserve">Численность трудоустроенных безработных составила </w:t>
      </w:r>
      <w:r w:rsidR="00AA559A" w:rsidRPr="00AA559A">
        <w:rPr>
          <w:snapToGrid/>
          <w:sz w:val="24"/>
          <w:szCs w:val="24"/>
        </w:rPr>
        <w:t>7</w:t>
      </w:r>
      <w:r w:rsidR="0054700A" w:rsidRPr="00AA559A">
        <w:rPr>
          <w:snapToGrid/>
          <w:sz w:val="24"/>
          <w:szCs w:val="24"/>
        </w:rPr>
        <w:t>,</w:t>
      </w:r>
      <w:r w:rsidR="00AA559A" w:rsidRPr="00AA559A">
        <w:rPr>
          <w:snapToGrid/>
          <w:sz w:val="24"/>
          <w:szCs w:val="24"/>
        </w:rPr>
        <w:t>3</w:t>
      </w:r>
      <w:r w:rsidR="00DA3776" w:rsidRPr="0054700A">
        <w:rPr>
          <w:snapToGrid/>
          <w:sz w:val="24"/>
          <w:szCs w:val="24"/>
        </w:rPr>
        <w:t xml:space="preserve"> тыс. человек.</w:t>
      </w:r>
    </w:p>
    <w:p w:rsidR="00DA3776" w:rsidRPr="00DA3776" w:rsidRDefault="00DA3776" w:rsidP="00DA377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A3776" w:rsidRDefault="00DA3776" w:rsidP="00DA3776">
      <w:pPr>
        <w:keepNext w:val="0"/>
        <w:widowControl w:val="0"/>
        <w:ind w:firstLine="0"/>
        <w:rPr>
          <w:rFonts w:ascii="Times New Roman" w:hAnsi="Times New Roman"/>
          <w:b/>
          <w:sz w:val="24"/>
          <w:szCs w:val="24"/>
        </w:rPr>
      </w:pPr>
    </w:p>
    <w:p w:rsidR="00DA3776" w:rsidRDefault="00DA3776" w:rsidP="00DA3776">
      <w:pPr>
        <w:keepNext w:val="0"/>
        <w:widowControl w:val="0"/>
        <w:ind w:firstLine="0"/>
        <w:rPr>
          <w:rFonts w:ascii="Times New Roman" w:hAnsi="Times New Roman"/>
          <w:b/>
          <w:sz w:val="24"/>
          <w:szCs w:val="24"/>
        </w:rPr>
      </w:pPr>
    </w:p>
    <w:p w:rsidR="00DA3776" w:rsidRDefault="00DA3776" w:rsidP="00DA3776">
      <w:pPr>
        <w:keepNext w:val="0"/>
        <w:widowControl w:val="0"/>
        <w:ind w:firstLine="0"/>
        <w:rPr>
          <w:rFonts w:ascii="Times New Roman" w:hAnsi="Times New Roman"/>
          <w:b/>
          <w:sz w:val="24"/>
          <w:szCs w:val="24"/>
        </w:rPr>
      </w:pPr>
    </w:p>
    <w:p w:rsidR="00DA3776" w:rsidRDefault="00DA3776" w:rsidP="00DA3776">
      <w:pPr>
        <w:keepNext w:val="0"/>
        <w:widowControl w:val="0"/>
        <w:ind w:firstLine="0"/>
        <w:rPr>
          <w:rFonts w:ascii="Times New Roman" w:hAnsi="Times New Roman"/>
          <w:b/>
          <w:sz w:val="24"/>
          <w:szCs w:val="24"/>
        </w:rPr>
      </w:pPr>
    </w:p>
    <w:p w:rsidR="00DA3776" w:rsidRDefault="00DA3776" w:rsidP="00DA3776">
      <w:pPr>
        <w:keepNext w:val="0"/>
        <w:widowControl w:val="0"/>
        <w:ind w:firstLine="0"/>
        <w:rPr>
          <w:rFonts w:ascii="Times New Roman" w:hAnsi="Times New Roman"/>
          <w:b/>
          <w:sz w:val="24"/>
          <w:szCs w:val="24"/>
        </w:rPr>
      </w:pPr>
    </w:p>
    <w:p w:rsidR="00DA3776" w:rsidRDefault="00DA3776" w:rsidP="00DA3776">
      <w:pPr>
        <w:keepNext w:val="0"/>
        <w:widowControl w:val="0"/>
        <w:ind w:firstLine="0"/>
        <w:rPr>
          <w:rFonts w:ascii="Times New Roman" w:hAnsi="Times New Roman"/>
          <w:b/>
          <w:sz w:val="24"/>
          <w:szCs w:val="24"/>
        </w:rPr>
      </w:pPr>
    </w:p>
    <w:p w:rsidR="00DA3776" w:rsidRPr="00DA3776" w:rsidRDefault="00DA3776" w:rsidP="00DA3776">
      <w:pPr>
        <w:keepNext w:val="0"/>
        <w:widowControl w:val="0"/>
        <w:ind w:firstLine="0"/>
        <w:rPr>
          <w:rFonts w:ascii="Times New Roman" w:hAnsi="Times New Roman"/>
          <w:b/>
          <w:sz w:val="24"/>
          <w:szCs w:val="24"/>
        </w:rPr>
      </w:pPr>
    </w:p>
    <w:p w:rsidR="00DA3776" w:rsidRPr="00DA3776" w:rsidRDefault="00DA3776" w:rsidP="00DA3776">
      <w:pPr>
        <w:keepNext w:val="0"/>
        <w:widowControl w:val="0"/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lastRenderedPageBreak/>
        <w:t>Основные показатели рынка труда</w:t>
      </w:r>
    </w:p>
    <w:tbl>
      <w:tblPr>
        <w:tblW w:w="4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871"/>
        <w:gridCol w:w="851"/>
      </w:tblGrid>
      <w:tr w:rsidR="00DA3776" w:rsidRPr="00DA3776" w:rsidTr="004D56AA">
        <w:trPr>
          <w:trHeight w:val="518"/>
        </w:trPr>
        <w:tc>
          <w:tcPr>
            <w:tcW w:w="3119" w:type="dxa"/>
            <w:shd w:val="clear" w:color="auto" w:fill="CCFFCC"/>
            <w:vAlign w:val="center"/>
          </w:tcPr>
          <w:p w:rsidR="00DA3776" w:rsidRPr="00DA3776" w:rsidRDefault="00DA3776" w:rsidP="004D56AA">
            <w:pPr>
              <w:keepNext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71" w:type="dxa"/>
            <w:shd w:val="clear" w:color="auto" w:fill="CCFFCC"/>
            <w:vAlign w:val="center"/>
          </w:tcPr>
          <w:p w:rsidR="00DA3776" w:rsidRPr="00DA3776" w:rsidRDefault="00DA3776" w:rsidP="00212198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r w:rsidR="00212198">
              <w:rPr>
                <w:rFonts w:ascii="Times New Roman" w:hAnsi="Times New Roman"/>
                <w:b/>
                <w:bCs/>
                <w:sz w:val="24"/>
                <w:szCs w:val="24"/>
              </w:rPr>
              <w:t>окт.</w:t>
            </w:r>
            <w:r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2010 г.</w:t>
            </w:r>
          </w:p>
        </w:tc>
        <w:tc>
          <w:tcPr>
            <w:tcW w:w="851" w:type="dxa"/>
            <w:shd w:val="clear" w:color="auto" w:fill="CCFFCC"/>
            <w:vAlign w:val="center"/>
          </w:tcPr>
          <w:p w:rsidR="00DA3776" w:rsidRPr="00DA3776" w:rsidRDefault="00DA3776" w:rsidP="004D56AA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r w:rsidR="00212198">
              <w:rPr>
                <w:rFonts w:ascii="Times New Roman" w:hAnsi="Times New Roman"/>
                <w:b/>
                <w:bCs/>
                <w:sz w:val="24"/>
                <w:szCs w:val="24"/>
              </w:rPr>
              <w:t>окт.</w:t>
            </w:r>
            <w:r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A3776" w:rsidRPr="00DA3776" w:rsidRDefault="00DA3776" w:rsidP="004D56AA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bCs/>
                <w:sz w:val="24"/>
                <w:szCs w:val="24"/>
              </w:rPr>
              <w:t>2011 г.</w:t>
            </w:r>
          </w:p>
        </w:tc>
      </w:tr>
      <w:tr w:rsidR="00743106" w:rsidRPr="00DA3776" w:rsidTr="004D56AA">
        <w:trPr>
          <w:trHeight w:val="262"/>
        </w:trPr>
        <w:tc>
          <w:tcPr>
            <w:tcW w:w="3119" w:type="dxa"/>
            <w:shd w:val="clear" w:color="auto" w:fill="auto"/>
            <w:vAlign w:val="center"/>
          </w:tcPr>
          <w:p w:rsidR="00743106" w:rsidRPr="00DA3776" w:rsidRDefault="00743106" w:rsidP="004D56AA">
            <w:pPr>
              <w:keepNext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Численность ищущих работу граждан, состоящих на учете в службе занятости, чел.</w:t>
            </w:r>
          </w:p>
        </w:tc>
        <w:tc>
          <w:tcPr>
            <w:tcW w:w="871" w:type="dxa"/>
            <w:vAlign w:val="center"/>
          </w:tcPr>
          <w:p w:rsidR="00743106" w:rsidRPr="009173E3" w:rsidRDefault="00743106" w:rsidP="00C56D69">
            <w:pPr>
              <w:keepNext w:val="0"/>
              <w:ind w:firstLine="0"/>
              <w:jc w:val="right"/>
              <w:rPr>
                <w:rFonts w:ascii="Times New Roman" w:hAnsi="Times New Roman"/>
              </w:rPr>
            </w:pPr>
            <w:r w:rsidRPr="009173E3">
              <w:rPr>
                <w:rFonts w:ascii="Times New Roman" w:hAnsi="Times New Roman"/>
              </w:rPr>
              <w:t xml:space="preserve">6 368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106" w:rsidRPr="009173E3" w:rsidRDefault="009173E3" w:rsidP="004D56AA">
            <w:pPr>
              <w:keepNext w:val="0"/>
              <w:ind w:firstLine="0"/>
              <w:jc w:val="right"/>
              <w:rPr>
                <w:rFonts w:ascii="Times New Roman" w:hAnsi="Times New Roman"/>
                <w:b/>
                <w:highlight w:val="lightGray"/>
              </w:rPr>
            </w:pPr>
            <w:r w:rsidRPr="009173E3">
              <w:rPr>
                <w:rFonts w:ascii="Times New Roman" w:hAnsi="Times New Roman"/>
                <w:b/>
              </w:rPr>
              <w:t>5400</w:t>
            </w:r>
          </w:p>
        </w:tc>
      </w:tr>
      <w:tr w:rsidR="00743106" w:rsidRPr="00DA3776" w:rsidTr="004D56AA">
        <w:trPr>
          <w:trHeight w:val="123"/>
        </w:trPr>
        <w:tc>
          <w:tcPr>
            <w:tcW w:w="3119" w:type="dxa"/>
            <w:shd w:val="clear" w:color="auto" w:fill="auto"/>
            <w:vAlign w:val="center"/>
          </w:tcPr>
          <w:p w:rsidR="00743106" w:rsidRPr="00DA3776" w:rsidRDefault="00743106" w:rsidP="004D56AA">
            <w:pPr>
              <w:keepNext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Имеют статус безработного, чел.</w:t>
            </w:r>
          </w:p>
        </w:tc>
        <w:tc>
          <w:tcPr>
            <w:tcW w:w="871" w:type="dxa"/>
            <w:vAlign w:val="center"/>
          </w:tcPr>
          <w:p w:rsidR="00743106" w:rsidRPr="009173E3" w:rsidRDefault="00743106" w:rsidP="00C56D69">
            <w:pPr>
              <w:keepNext w:val="0"/>
              <w:ind w:firstLine="0"/>
              <w:jc w:val="right"/>
              <w:rPr>
                <w:rFonts w:ascii="Times New Roman" w:hAnsi="Times New Roman"/>
              </w:rPr>
            </w:pPr>
            <w:r w:rsidRPr="009173E3">
              <w:rPr>
                <w:rFonts w:ascii="Times New Roman" w:hAnsi="Times New Roman"/>
              </w:rPr>
              <w:t xml:space="preserve">5 415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106" w:rsidRPr="009173E3" w:rsidRDefault="00E67FB4" w:rsidP="004D56AA">
            <w:pPr>
              <w:keepNext w:val="0"/>
              <w:ind w:firstLine="0"/>
              <w:jc w:val="right"/>
              <w:rPr>
                <w:rFonts w:ascii="Times New Roman" w:hAnsi="Times New Roman"/>
                <w:b/>
                <w:highlight w:val="lightGray"/>
              </w:rPr>
            </w:pPr>
            <w:r w:rsidRPr="009173E3">
              <w:rPr>
                <w:rFonts w:ascii="Times New Roman" w:hAnsi="Times New Roman"/>
                <w:b/>
              </w:rPr>
              <w:t>4400</w:t>
            </w:r>
          </w:p>
        </w:tc>
      </w:tr>
      <w:tr w:rsidR="00DA3776" w:rsidRPr="00DA3776" w:rsidTr="004D56AA">
        <w:trPr>
          <w:trHeight w:val="114"/>
        </w:trPr>
        <w:tc>
          <w:tcPr>
            <w:tcW w:w="3119" w:type="dxa"/>
            <w:shd w:val="clear" w:color="auto" w:fill="auto"/>
            <w:vAlign w:val="center"/>
          </w:tcPr>
          <w:p w:rsidR="00DA3776" w:rsidRPr="00DA3776" w:rsidRDefault="00DA3776" w:rsidP="004D56AA">
            <w:pPr>
              <w:keepNext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Наличие вакантных мест на конец периода, ед.</w:t>
            </w:r>
          </w:p>
        </w:tc>
        <w:tc>
          <w:tcPr>
            <w:tcW w:w="871" w:type="dxa"/>
            <w:vAlign w:val="center"/>
          </w:tcPr>
          <w:p w:rsidR="00DA3776" w:rsidRPr="009173E3" w:rsidRDefault="00743106" w:rsidP="004D56AA">
            <w:pPr>
              <w:keepNext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3E3">
              <w:rPr>
                <w:rFonts w:ascii="Times New Roman" w:hAnsi="Times New Roman"/>
              </w:rPr>
              <w:t>10 596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3776" w:rsidRPr="009173E3" w:rsidRDefault="004D39C9" w:rsidP="004D56AA">
            <w:pPr>
              <w:keepNext w:val="0"/>
              <w:ind w:firstLine="0"/>
              <w:jc w:val="right"/>
              <w:rPr>
                <w:rFonts w:ascii="Times New Roman" w:hAnsi="Times New Roman"/>
                <w:b/>
                <w:highlight w:val="lightGray"/>
              </w:rPr>
            </w:pPr>
            <w:r w:rsidRPr="004D39C9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D39C9">
              <w:rPr>
                <w:rFonts w:ascii="Times New Roman" w:hAnsi="Times New Roman"/>
                <w:b/>
              </w:rPr>
              <w:t>000</w:t>
            </w:r>
          </w:p>
        </w:tc>
      </w:tr>
      <w:tr w:rsidR="00DA3776" w:rsidRPr="00DA3776" w:rsidTr="004D56AA">
        <w:trPr>
          <w:trHeight w:val="54"/>
        </w:trPr>
        <w:tc>
          <w:tcPr>
            <w:tcW w:w="3119" w:type="dxa"/>
            <w:shd w:val="clear" w:color="auto" w:fill="auto"/>
            <w:vAlign w:val="center"/>
          </w:tcPr>
          <w:p w:rsidR="00DA3776" w:rsidRPr="00DA3776" w:rsidRDefault="00DA3776" w:rsidP="004D56AA">
            <w:pPr>
              <w:keepNext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Нагрузка незанятого трудовой деятельностью населения на одну заявленную вакансию, чел.</w:t>
            </w:r>
          </w:p>
        </w:tc>
        <w:tc>
          <w:tcPr>
            <w:tcW w:w="871" w:type="dxa"/>
            <w:vAlign w:val="center"/>
          </w:tcPr>
          <w:p w:rsidR="00DA3776" w:rsidRPr="009173E3" w:rsidRDefault="00743106" w:rsidP="004D56AA">
            <w:pPr>
              <w:keepNext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3E3">
              <w:rPr>
                <w:rFonts w:ascii="Times New Roman" w:hAnsi="Times New Roman"/>
              </w:rPr>
              <w:t>0,6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3776" w:rsidRPr="009173E3" w:rsidRDefault="00E67FB4" w:rsidP="004D56AA">
            <w:pPr>
              <w:keepNext w:val="0"/>
              <w:ind w:firstLine="0"/>
              <w:jc w:val="right"/>
              <w:rPr>
                <w:rFonts w:ascii="Times New Roman" w:hAnsi="Times New Roman"/>
                <w:b/>
                <w:highlight w:val="lightGray"/>
              </w:rPr>
            </w:pPr>
            <w:r w:rsidRPr="009173E3">
              <w:rPr>
                <w:rFonts w:ascii="Times New Roman" w:hAnsi="Times New Roman"/>
                <w:b/>
              </w:rPr>
              <w:t>0,45</w:t>
            </w:r>
          </w:p>
        </w:tc>
      </w:tr>
      <w:tr w:rsidR="00DA3776" w:rsidRPr="00DA3776" w:rsidTr="004D56AA">
        <w:trPr>
          <w:trHeight w:val="54"/>
        </w:trPr>
        <w:tc>
          <w:tcPr>
            <w:tcW w:w="3119" w:type="dxa"/>
            <w:shd w:val="clear" w:color="auto" w:fill="auto"/>
            <w:vAlign w:val="center"/>
          </w:tcPr>
          <w:p w:rsidR="00DA3776" w:rsidRPr="00DA3776" w:rsidRDefault="00DA3776" w:rsidP="004D56AA">
            <w:pPr>
              <w:keepNext w:val="0"/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Уровень безработицы, %</w:t>
            </w:r>
          </w:p>
        </w:tc>
        <w:tc>
          <w:tcPr>
            <w:tcW w:w="871" w:type="dxa"/>
            <w:vAlign w:val="center"/>
          </w:tcPr>
          <w:p w:rsidR="00DA3776" w:rsidRPr="009173E3" w:rsidRDefault="00743106" w:rsidP="004D56AA">
            <w:pPr>
              <w:keepNext w:val="0"/>
              <w:widowControl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173E3">
              <w:rPr>
                <w:rFonts w:ascii="Times New Roman" w:hAnsi="Times New Roman"/>
              </w:rPr>
              <w:t>0,87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3776" w:rsidRPr="009173E3" w:rsidRDefault="00743106" w:rsidP="004D56AA">
            <w:pPr>
              <w:keepNext w:val="0"/>
              <w:ind w:firstLine="0"/>
              <w:jc w:val="right"/>
              <w:rPr>
                <w:rFonts w:ascii="Times New Roman" w:hAnsi="Times New Roman"/>
                <w:b/>
                <w:highlight w:val="lightGray"/>
              </w:rPr>
            </w:pPr>
            <w:r w:rsidRPr="009173E3">
              <w:rPr>
                <w:rFonts w:ascii="Times New Roman" w:hAnsi="Times New Roman"/>
                <w:b/>
              </w:rPr>
              <w:t>0,70</w:t>
            </w:r>
          </w:p>
        </w:tc>
      </w:tr>
    </w:tbl>
    <w:p w:rsidR="00DA3776" w:rsidRPr="00DA3776" w:rsidRDefault="00DA3776" w:rsidP="00DA3776">
      <w:pPr>
        <w:keepNext w:val="0"/>
        <w:widowControl w:val="0"/>
        <w:rPr>
          <w:rFonts w:ascii="Times New Roman" w:hAnsi="Times New Roman"/>
          <w:i/>
          <w:sz w:val="24"/>
          <w:szCs w:val="24"/>
          <w:highlight w:val="yellow"/>
        </w:rPr>
        <w:sectPr w:rsidR="00DA3776" w:rsidRPr="00DA3776" w:rsidSect="004D56AA">
          <w:type w:val="continuous"/>
          <w:pgSz w:w="11906" w:h="16838"/>
          <w:pgMar w:top="1134" w:right="746" w:bottom="1134" w:left="1080" w:header="708" w:footer="708" w:gutter="0"/>
          <w:cols w:num="2" w:space="720"/>
          <w:docGrid w:linePitch="360"/>
        </w:sectPr>
      </w:pPr>
    </w:p>
    <w:p w:rsidR="00DA3776" w:rsidRPr="00DA3776" w:rsidRDefault="00DA3776" w:rsidP="00DA3776">
      <w:pPr>
        <w:keepNext w:val="0"/>
        <w:widowControl w:val="0"/>
        <w:spacing w:before="12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b/>
          <w:i/>
          <w:sz w:val="24"/>
          <w:szCs w:val="24"/>
        </w:rPr>
        <w:lastRenderedPageBreak/>
        <w:t>Промышленность</w:t>
      </w:r>
    </w:p>
    <w:p w:rsidR="00DA3776" w:rsidRPr="00DA3776" w:rsidRDefault="00DA3776" w:rsidP="00DA3776">
      <w:pPr>
        <w:keepNext w:val="0"/>
        <w:widowControl w:val="0"/>
        <w:tabs>
          <w:tab w:val="left" w:pos="360"/>
        </w:tabs>
        <w:ind w:firstLine="72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Оборот организаций города по видам экономической деятельности С, D, Е, за январь  - </w:t>
      </w:r>
      <w:r w:rsidR="00873E15">
        <w:rPr>
          <w:rFonts w:ascii="Times New Roman" w:hAnsi="Times New Roman"/>
          <w:sz w:val="24"/>
          <w:szCs w:val="24"/>
        </w:rPr>
        <w:t>сентябрь</w:t>
      </w:r>
      <w:r w:rsidRPr="00DA3776">
        <w:rPr>
          <w:rFonts w:ascii="Times New Roman" w:hAnsi="Times New Roman"/>
          <w:sz w:val="24"/>
          <w:szCs w:val="24"/>
        </w:rPr>
        <w:t xml:space="preserve"> 2011 года составил </w:t>
      </w:r>
      <w:r w:rsidR="00873E15">
        <w:rPr>
          <w:rFonts w:ascii="Times New Roman" w:hAnsi="Times New Roman"/>
          <w:sz w:val="24"/>
          <w:szCs w:val="24"/>
        </w:rPr>
        <w:t>140</w:t>
      </w:r>
      <w:r w:rsidRPr="00DA3776">
        <w:rPr>
          <w:rFonts w:ascii="Times New Roman" w:hAnsi="Times New Roman"/>
          <w:sz w:val="24"/>
          <w:szCs w:val="24"/>
        </w:rPr>
        <w:t> </w:t>
      </w:r>
      <w:r w:rsidR="00873E15">
        <w:rPr>
          <w:rFonts w:ascii="Times New Roman" w:hAnsi="Times New Roman"/>
          <w:sz w:val="24"/>
          <w:szCs w:val="24"/>
        </w:rPr>
        <w:t>191</w:t>
      </w:r>
      <w:r w:rsidRPr="00DA3776">
        <w:rPr>
          <w:rFonts w:ascii="Times New Roman" w:hAnsi="Times New Roman"/>
          <w:sz w:val="24"/>
          <w:szCs w:val="24"/>
        </w:rPr>
        <w:t>,</w:t>
      </w:r>
      <w:r w:rsidR="00873E15">
        <w:rPr>
          <w:rFonts w:ascii="Times New Roman" w:hAnsi="Times New Roman"/>
          <w:sz w:val="24"/>
          <w:szCs w:val="24"/>
        </w:rPr>
        <w:t>2</w:t>
      </w:r>
      <w:r w:rsidRPr="00DA3776">
        <w:rPr>
          <w:rFonts w:ascii="Times New Roman" w:hAnsi="Times New Roman"/>
          <w:sz w:val="24"/>
          <w:szCs w:val="24"/>
        </w:rPr>
        <w:t xml:space="preserve"> млн. рублей. Объем отгруженных товаров собственного производства, выполненных работ и услуг составил </w:t>
      </w:r>
      <w:r w:rsidR="00177B82" w:rsidRPr="00177B82">
        <w:rPr>
          <w:rFonts w:ascii="Times New Roman" w:hAnsi="Times New Roman"/>
          <w:sz w:val="24"/>
          <w:szCs w:val="24"/>
        </w:rPr>
        <w:t>117</w:t>
      </w:r>
      <w:r w:rsidR="00177B82">
        <w:rPr>
          <w:rFonts w:ascii="Times New Roman" w:hAnsi="Times New Roman"/>
          <w:sz w:val="24"/>
          <w:szCs w:val="24"/>
        </w:rPr>
        <w:t xml:space="preserve"> </w:t>
      </w:r>
      <w:r w:rsidR="00177B82" w:rsidRPr="00177B82">
        <w:rPr>
          <w:rFonts w:ascii="Times New Roman" w:hAnsi="Times New Roman"/>
          <w:sz w:val="24"/>
          <w:szCs w:val="24"/>
        </w:rPr>
        <w:t>237</w:t>
      </w:r>
      <w:r w:rsidR="00177B82">
        <w:rPr>
          <w:rFonts w:ascii="Times New Roman" w:hAnsi="Times New Roman"/>
          <w:sz w:val="24"/>
          <w:szCs w:val="24"/>
        </w:rPr>
        <w:t>,</w:t>
      </w:r>
      <w:r w:rsidR="00177B82" w:rsidRPr="00177B82">
        <w:rPr>
          <w:rFonts w:ascii="Times New Roman" w:hAnsi="Times New Roman"/>
          <w:sz w:val="24"/>
          <w:szCs w:val="24"/>
        </w:rPr>
        <w:t>4</w:t>
      </w:r>
      <w:r w:rsidRPr="00DA3776">
        <w:rPr>
          <w:rFonts w:ascii="Times New Roman" w:hAnsi="Times New Roman"/>
          <w:sz w:val="24"/>
          <w:szCs w:val="24"/>
        </w:rPr>
        <w:t xml:space="preserve"> млн. рублей, в том числе по видам экономической деятельности: добыча полезных ископаемых – </w:t>
      </w:r>
      <w:r w:rsidR="00177B82">
        <w:rPr>
          <w:rFonts w:ascii="Times New Roman" w:hAnsi="Times New Roman"/>
          <w:sz w:val="24"/>
          <w:szCs w:val="24"/>
        </w:rPr>
        <w:t>713</w:t>
      </w:r>
      <w:r w:rsidRPr="00DA3776">
        <w:rPr>
          <w:rFonts w:ascii="Times New Roman" w:hAnsi="Times New Roman"/>
          <w:sz w:val="24"/>
          <w:szCs w:val="24"/>
        </w:rPr>
        <w:t>,</w:t>
      </w:r>
      <w:r w:rsidR="00177B82">
        <w:rPr>
          <w:rFonts w:ascii="Times New Roman" w:hAnsi="Times New Roman"/>
          <w:sz w:val="24"/>
          <w:szCs w:val="24"/>
        </w:rPr>
        <w:t>3</w:t>
      </w:r>
      <w:r w:rsidRPr="00DA3776">
        <w:rPr>
          <w:rFonts w:ascii="Times New Roman" w:hAnsi="Times New Roman"/>
          <w:sz w:val="24"/>
          <w:szCs w:val="24"/>
        </w:rPr>
        <w:t xml:space="preserve">  млн. рублей, обрабатывающие производства – </w:t>
      </w:r>
      <w:r w:rsidR="00177B82">
        <w:rPr>
          <w:rFonts w:ascii="Times New Roman" w:hAnsi="Times New Roman"/>
          <w:sz w:val="24"/>
          <w:szCs w:val="24"/>
        </w:rPr>
        <w:t>91 245,9</w:t>
      </w:r>
      <w:r w:rsidRPr="00DA3776">
        <w:rPr>
          <w:rFonts w:ascii="Times New Roman" w:hAnsi="Times New Roman"/>
          <w:sz w:val="24"/>
          <w:szCs w:val="24"/>
        </w:rPr>
        <w:t xml:space="preserve"> млн. рублей, производство и распределение электроэнергии, газа и воды   –   </w:t>
      </w:r>
      <w:r w:rsidR="00177B82">
        <w:rPr>
          <w:rFonts w:ascii="Times New Roman" w:hAnsi="Times New Roman"/>
          <w:sz w:val="24"/>
          <w:szCs w:val="24"/>
        </w:rPr>
        <w:t>25 278,2</w:t>
      </w:r>
      <w:r w:rsidRPr="00DA3776">
        <w:rPr>
          <w:rFonts w:ascii="Times New Roman" w:hAnsi="Times New Roman"/>
          <w:sz w:val="24"/>
          <w:szCs w:val="24"/>
        </w:rPr>
        <w:t xml:space="preserve">   млн. рублей. </w:t>
      </w:r>
    </w:p>
    <w:p w:rsidR="00DA3776" w:rsidRPr="00DA3776" w:rsidRDefault="00DA3776" w:rsidP="00DA3776">
      <w:pPr>
        <w:keepNext w:val="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>Удельный вес обрабатывающего производства в общем объеме отгруженных товаров составил 7</w:t>
      </w:r>
      <w:r w:rsidR="00177B82">
        <w:rPr>
          <w:rFonts w:ascii="Times New Roman" w:hAnsi="Times New Roman"/>
          <w:sz w:val="24"/>
          <w:szCs w:val="24"/>
        </w:rPr>
        <w:t>7</w:t>
      </w:r>
      <w:r w:rsidRPr="00DA3776">
        <w:rPr>
          <w:rFonts w:ascii="Times New Roman" w:hAnsi="Times New Roman"/>
          <w:sz w:val="24"/>
          <w:szCs w:val="24"/>
        </w:rPr>
        <w:t>,</w:t>
      </w:r>
      <w:r w:rsidR="00177B82">
        <w:rPr>
          <w:rFonts w:ascii="Times New Roman" w:hAnsi="Times New Roman"/>
          <w:sz w:val="24"/>
          <w:szCs w:val="24"/>
        </w:rPr>
        <w:t>8</w:t>
      </w:r>
      <w:r w:rsidRPr="00DA3776">
        <w:rPr>
          <w:rFonts w:ascii="Times New Roman" w:hAnsi="Times New Roman"/>
          <w:sz w:val="24"/>
          <w:szCs w:val="24"/>
        </w:rPr>
        <w:t xml:space="preserve">%. </w:t>
      </w:r>
    </w:p>
    <w:p w:rsidR="00DA3776" w:rsidRPr="00DA3776" w:rsidRDefault="00DA3776" w:rsidP="00DA3776">
      <w:pPr>
        <w:keepNext w:val="0"/>
        <w:widowControl w:val="0"/>
        <w:spacing w:before="120"/>
        <w:ind w:firstLine="0"/>
        <w:jc w:val="center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DA3776">
        <w:rPr>
          <w:rFonts w:ascii="Times New Roman" w:hAnsi="Times New Roman"/>
          <w:b/>
          <w:bCs/>
          <w:sz w:val="24"/>
          <w:szCs w:val="24"/>
        </w:rPr>
        <w:t>Объем отгруженных товаров собственного производства, выполненных работ и услуг по видам экономической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  <w:gridCol w:w="1701"/>
        <w:gridCol w:w="2533"/>
      </w:tblGrid>
      <w:tr w:rsidR="00DA3776" w:rsidRPr="00DA3776" w:rsidTr="004D56AA">
        <w:trPr>
          <w:cantSplit/>
          <w:trHeight w:val="640"/>
          <w:tblHeader/>
        </w:trPr>
        <w:tc>
          <w:tcPr>
            <w:tcW w:w="6062" w:type="dxa"/>
            <w:tcBorders>
              <w:bottom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A3776" w:rsidRPr="00DA3776" w:rsidRDefault="00DA3776" w:rsidP="004D56AA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  <w:p w:rsidR="00DA3776" w:rsidRPr="00DA3776" w:rsidRDefault="00DA3776" w:rsidP="004D56AA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2011 г.,</w:t>
            </w:r>
          </w:p>
          <w:p w:rsidR="00DA3776" w:rsidRPr="00DA3776" w:rsidRDefault="00DA3776" w:rsidP="004D56AA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млн рублей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Январь-март </w:t>
            </w:r>
          </w:p>
          <w:p w:rsidR="00DA3776" w:rsidRPr="00DA3776" w:rsidRDefault="00DA3776" w:rsidP="004D56AA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2011 г. в % к</w:t>
            </w:r>
          </w:p>
          <w:p w:rsidR="00DA3776" w:rsidRPr="00DA3776" w:rsidRDefault="00DA3776" w:rsidP="004D56AA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>январю-марту 2010 г.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DA3776" w:rsidRDefault="009D26F1" w:rsidP="004D56AA">
            <w:pPr>
              <w:ind w:firstLine="17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713,3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DA3776" w:rsidRDefault="009D26F1" w:rsidP="004D56AA">
            <w:pPr>
              <w:ind w:firstLine="17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180,8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pStyle w:val="a8"/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9D26F1" w:rsidRDefault="009D26F1" w:rsidP="004D56AA">
            <w:pPr>
              <w:ind w:firstLine="17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26F1">
              <w:rPr>
                <w:rFonts w:ascii="Times New Roman" w:hAnsi="Times New Roman"/>
                <w:b/>
                <w:i/>
                <w:sz w:val="24"/>
                <w:szCs w:val="24"/>
              </w:rPr>
              <w:t>91 245,9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DA3776" w:rsidRDefault="009D26F1" w:rsidP="004D56AA">
            <w:pPr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114,7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DA3776" w:rsidRDefault="00DA3776" w:rsidP="004D56AA">
            <w:pPr>
              <w:ind w:firstLine="1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DA3776" w:rsidRDefault="00DA3776" w:rsidP="004D56AA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A37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 </w:t>
            </w:r>
          </w:p>
        </w:tc>
      </w:tr>
      <w:tr w:rsidR="00DA3776" w:rsidRPr="00DA3776" w:rsidTr="009D26F1">
        <w:trPr>
          <w:cantSplit/>
          <w:trHeight w:val="728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производство пищевых продуктов, включая напитки, </w:t>
            </w:r>
          </w:p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и табака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9D26F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11043,9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115,9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текстильное и швейное производство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122,1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90,4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производство кожи, изделий из кожи и производство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131,2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112,4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обработка древесины и производство изделий из дерева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487,7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90,5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целлюлозно-бумажное производство; издательская  и полиграфическая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2271,3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2,0 р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химическое производство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1808,0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128,3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производство резиновых и пластмассовых 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653,7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87,4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производство прочих неметаллических минеральных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5181,3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124,1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металлургическое производство и производство </w:t>
            </w:r>
          </w:p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готовых металлических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069DC">
            <w:pPr>
              <w:ind w:firstLine="0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52157,2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115,5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производство машин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7075,0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113,0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производство электрооборудования, электронного </w:t>
            </w:r>
          </w:p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и оптического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1448,1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98,7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производство транспортных средств и 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3216,3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120,5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A3776">
              <w:rPr>
                <w:rFonts w:ascii="Times New Roman" w:hAnsi="Times New Roman"/>
                <w:sz w:val="24"/>
                <w:szCs w:val="24"/>
              </w:rPr>
              <w:t xml:space="preserve"> прочие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sz w:val="24"/>
                <w:szCs w:val="24"/>
              </w:rPr>
              <w:t>4135,9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4069DC" w:rsidRDefault="009D26F1" w:rsidP="004D56AA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4069DC">
              <w:rPr>
                <w:rFonts w:ascii="Times New Roman" w:hAnsi="Times New Roman"/>
                <w:i/>
                <w:sz w:val="24"/>
                <w:szCs w:val="24"/>
              </w:rPr>
              <w:t>113,9</w:t>
            </w:r>
          </w:p>
        </w:tc>
      </w:tr>
      <w:tr w:rsidR="00DA3776" w:rsidRPr="00DA3776" w:rsidTr="004D56AA">
        <w:trPr>
          <w:cantSplit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76" w:rsidRPr="00DA3776" w:rsidRDefault="00DA3776" w:rsidP="004D56AA">
            <w:pPr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4"/>
                <w:szCs w:val="24"/>
                <w:vertAlign w:val="superscript"/>
              </w:rPr>
            </w:pPr>
            <w:r w:rsidRPr="00DA377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776" w:rsidRPr="00DA3776" w:rsidRDefault="00D40013" w:rsidP="004D56AA">
            <w:pPr>
              <w:ind w:firstLine="17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25278,2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A3776" w:rsidRPr="00DA3776" w:rsidRDefault="00D40013" w:rsidP="004D56AA">
            <w:pPr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115,6</w:t>
            </w:r>
          </w:p>
        </w:tc>
      </w:tr>
    </w:tbl>
    <w:p w:rsidR="00DA3776" w:rsidRPr="00DA3776" w:rsidRDefault="00DA3776" w:rsidP="00DA3776">
      <w:pPr>
        <w:spacing w:line="300" w:lineRule="exact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>За отчетный период значительно увеличил</w:t>
      </w:r>
      <w:r w:rsidR="00D40013">
        <w:rPr>
          <w:rFonts w:ascii="Times New Roman" w:hAnsi="Times New Roman"/>
          <w:sz w:val="24"/>
          <w:szCs w:val="24"/>
        </w:rPr>
        <w:t>о</w:t>
      </w:r>
      <w:r w:rsidRPr="00DA3776">
        <w:rPr>
          <w:rFonts w:ascii="Times New Roman" w:hAnsi="Times New Roman"/>
          <w:sz w:val="24"/>
          <w:szCs w:val="24"/>
        </w:rPr>
        <w:t>сь:</w:t>
      </w:r>
    </w:p>
    <w:p w:rsidR="00DA3776" w:rsidRPr="00DA3776" w:rsidRDefault="00DA3776" w:rsidP="00DA3776">
      <w:pPr>
        <w:spacing w:line="300" w:lineRule="exact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- производство кранов мостовых электрических </w:t>
      </w:r>
      <w:r w:rsidR="00D40013">
        <w:rPr>
          <w:rFonts w:ascii="Times New Roman" w:hAnsi="Times New Roman"/>
          <w:sz w:val="24"/>
          <w:szCs w:val="24"/>
        </w:rPr>
        <w:t>на</w:t>
      </w:r>
      <w:r w:rsidRPr="00DA3776">
        <w:rPr>
          <w:rFonts w:ascii="Times New Roman" w:hAnsi="Times New Roman"/>
          <w:sz w:val="24"/>
          <w:szCs w:val="24"/>
        </w:rPr>
        <w:t xml:space="preserve"> </w:t>
      </w:r>
      <w:r w:rsidR="00D40013">
        <w:rPr>
          <w:rFonts w:ascii="Times New Roman" w:hAnsi="Times New Roman"/>
          <w:sz w:val="24"/>
          <w:szCs w:val="24"/>
        </w:rPr>
        <w:t>50 %</w:t>
      </w:r>
      <w:r w:rsidRPr="00DA3776">
        <w:rPr>
          <w:rFonts w:ascii="Times New Roman" w:hAnsi="Times New Roman"/>
          <w:sz w:val="24"/>
          <w:szCs w:val="24"/>
        </w:rPr>
        <w:t>;</w:t>
      </w:r>
    </w:p>
    <w:p w:rsidR="00DA3776" w:rsidRPr="00DA3776" w:rsidRDefault="00DA3776" w:rsidP="00DA3776">
      <w:pPr>
        <w:spacing w:line="300" w:lineRule="exact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- добыча материалов строительных нерудных </w:t>
      </w:r>
      <w:r w:rsidR="00D40013">
        <w:rPr>
          <w:rFonts w:ascii="Times New Roman" w:hAnsi="Times New Roman"/>
          <w:sz w:val="24"/>
          <w:szCs w:val="24"/>
        </w:rPr>
        <w:t>на 85,8%</w:t>
      </w:r>
      <w:r w:rsidRPr="00DA3776">
        <w:rPr>
          <w:rFonts w:ascii="Times New Roman" w:hAnsi="Times New Roman"/>
          <w:sz w:val="24"/>
          <w:szCs w:val="24"/>
        </w:rPr>
        <w:t>;</w:t>
      </w:r>
    </w:p>
    <w:p w:rsidR="00D40013" w:rsidRPr="00D40013" w:rsidRDefault="00DA3776" w:rsidP="00D40013">
      <w:pPr>
        <w:spacing w:line="300" w:lineRule="exact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>- </w:t>
      </w:r>
      <w:r w:rsidR="00D40013" w:rsidRPr="00D40013">
        <w:rPr>
          <w:rFonts w:ascii="Times New Roman" w:hAnsi="Times New Roman"/>
          <w:sz w:val="24"/>
          <w:szCs w:val="24"/>
        </w:rPr>
        <w:t xml:space="preserve">производство целлюлозы древесной и целлюлозы из прочих волокнистых </w:t>
      </w:r>
    </w:p>
    <w:p w:rsidR="00D40013" w:rsidRDefault="00D40013" w:rsidP="00D40013">
      <w:pPr>
        <w:spacing w:line="300" w:lineRule="exact"/>
        <w:rPr>
          <w:rFonts w:ascii="Times New Roman" w:hAnsi="Times New Roman"/>
          <w:sz w:val="24"/>
          <w:szCs w:val="24"/>
        </w:rPr>
      </w:pPr>
      <w:r w:rsidRPr="00D40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D40013">
        <w:rPr>
          <w:rFonts w:ascii="Times New Roman" w:hAnsi="Times New Roman"/>
          <w:sz w:val="24"/>
          <w:szCs w:val="24"/>
        </w:rPr>
        <w:t>атериалов</w:t>
      </w:r>
      <w:r>
        <w:rPr>
          <w:rFonts w:ascii="Times New Roman" w:hAnsi="Times New Roman"/>
          <w:sz w:val="24"/>
          <w:szCs w:val="24"/>
        </w:rPr>
        <w:t xml:space="preserve"> на 65,3%,  </w:t>
      </w:r>
    </w:p>
    <w:p w:rsidR="00DA3776" w:rsidRPr="00DA3776" w:rsidRDefault="00D40013" w:rsidP="00D40013">
      <w:pPr>
        <w:spacing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производство бумаги на 76,1%</w:t>
      </w:r>
      <w:r w:rsidR="00DA3776" w:rsidRPr="00DA3776">
        <w:rPr>
          <w:rFonts w:ascii="Times New Roman" w:hAnsi="Times New Roman"/>
          <w:sz w:val="24"/>
          <w:szCs w:val="24"/>
        </w:rPr>
        <w:t>;</w:t>
      </w:r>
    </w:p>
    <w:p w:rsidR="00DA3776" w:rsidRPr="00DA3776" w:rsidRDefault="00DA3776" w:rsidP="00DA3776">
      <w:pPr>
        <w:spacing w:line="300" w:lineRule="exact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>- </w:t>
      </w:r>
      <w:r w:rsidR="00D40013">
        <w:rPr>
          <w:rFonts w:ascii="Times New Roman" w:hAnsi="Times New Roman"/>
          <w:sz w:val="24"/>
          <w:szCs w:val="24"/>
        </w:rPr>
        <w:t xml:space="preserve">производство </w:t>
      </w:r>
      <w:r w:rsidR="00D40013" w:rsidRPr="00D40013">
        <w:rPr>
          <w:rFonts w:ascii="Times New Roman" w:hAnsi="Times New Roman"/>
          <w:sz w:val="24"/>
          <w:szCs w:val="24"/>
        </w:rPr>
        <w:t>окон и их коробок, подоконников полимерных</w:t>
      </w:r>
      <w:r w:rsidRPr="00DA3776">
        <w:rPr>
          <w:rFonts w:ascii="Times New Roman" w:hAnsi="Times New Roman"/>
          <w:sz w:val="24"/>
          <w:szCs w:val="24"/>
        </w:rPr>
        <w:t xml:space="preserve"> на </w:t>
      </w:r>
      <w:r w:rsidR="00D40013">
        <w:rPr>
          <w:rFonts w:ascii="Times New Roman" w:hAnsi="Times New Roman"/>
          <w:sz w:val="24"/>
          <w:szCs w:val="24"/>
        </w:rPr>
        <w:t>45,6</w:t>
      </w:r>
      <w:r w:rsidRPr="00DA3776">
        <w:rPr>
          <w:rFonts w:ascii="Times New Roman" w:hAnsi="Times New Roman"/>
          <w:sz w:val="24"/>
          <w:szCs w:val="24"/>
        </w:rPr>
        <w:t>%;</w:t>
      </w:r>
    </w:p>
    <w:p w:rsidR="00DA3776" w:rsidRPr="00DA3776" w:rsidRDefault="00DA3776" w:rsidP="00DA3776">
      <w:pPr>
        <w:spacing w:line="300" w:lineRule="exact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- производство бытовых холодильников и морозильников на </w:t>
      </w:r>
      <w:r w:rsidR="00D40013">
        <w:rPr>
          <w:rFonts w:ascii="Times New Roman" w:hAnsi="Times New Roman"/>
          <w:sz w:val="24"/>
          <w:szCs w:val="24"/>
        </w:rPr>
        <w:t>24</w:t>
      </w:r>
      <w:r w:rsidRPr="00DA3776">
        <w:rPr>
          <w:rFonts w:ascii="Times New Roman" w:hAnsi="Times New Roman"/>
          <w:sz w:val="24"/>
          <w:szCs w:val="24"/>
        </w:rPr>
        <w:t>,</w:t>
      </w:r>
      <w:r w:rsidR="00D40013">
        <w:rPr>
          <w:rFonts w:ascii="Times New Roman" w:hAnsi="Times New Roman"/>
          <w:sz w:val="24"/>
          <w:szCs w:val="24"/>
        </w:rPr>
        <w:t>8</w:t>
      </w:r>
      <w:r w:rsidRPr="00DA3776">
        <w:rPr>
          <w:rFonts w:ascii="Times New Roman" w:hAnsi="Times New Roman"/>
          <w:sz w:val="24"/>
          <w:szCs w:val="24"/>
        </w:rPr>
        <w:t>%.</w:t>
      </w:r>
    </w:p>
    <w:p w:rsidR="00DA3776" w:rsidRPr="00DA3776" w:rsidRDefault="00DA3776" w:rsidP="00DA3776">
      <w:pPr>
        <w:spacing w:line="300" w:lineRule="exact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Снизилось производство </w:t>
      </w:r>
      <w:r w:rsidR="00D40013" w:rsidRPr="00DA3776">
        <w:rPr>
          <w:rFonts w:ascii="Times New Roman" w:hAnsi="Times New Roman"/>
          <w:sz w:val="24"/>
          <w:szCs w:val="24"/>
        </w:rPr>
        <w:t>прокат</w:t>
      </w:r>
      <w:r w:rsidR="00D40013">
        <w:rPr>
          <w:rFonts w:ascii="Times New Roman" w:hAnsi="Times New Roman"/>
          <w:sz w:val="24"/>
          <w:szCs w:val="24"/>
        </w:rPr>
        <w:t>а</w:t>
      </w:r>
      <w:r w:rsidR="00D40013" w:rsidRPr="00DA3776">
        <w:rPr>
          <w:rFonts w:ascii="Times New Roman" w:hAnsi="Times New Roman"/>
          <w:sz w:val="24"/>
          <w:szCs w:val="24"/>
        </w:rPr>
        <w:t xml:space="preserve"> готовы</w:t>
      </w:r>
      <w:r w:rsidR="00D40013">
        <w:rPr>
          <w:rFonts w:ascii="Times New Roman" w:hAnsi="Times New Roman"/>
          <w:sz w:val="24"/>
          <w:szCs w:val="24"/>
        </w:rPr>
        <w:t>х</w:t>
      </w:r>
      <w:r w:rsidR="00D40013" w:rsidRPr="00DA3776">
        <w:rPr>
          <w:rFonts w:ascii="Times New Roman" w:hAnsi="Times New Roman"/>
          <w:sz w:val="24"/>
          <w:szCs w:val="24"/>
        </w:rPr>
        <w:t xml:space="preserve"> черных металлов </w:t>
      </w:r>
      <w:r w:rsidR="00D40013">
        <w:rPr>
          <w:rFonts w:ascii="Times New Roman" w:hAnsi="Times New Roman"/>
          <w:sz w:val="24"/>
          <w:szCs w:val="24"/>
        </w:rPr>
        <w:t xml:space="preserve">на 32,1%, </w:t>
      </w:r>
      <w:r w:rsidRPr="00DA3776">
        <w:rPr>
          <w:rFonts w:ascii="Times New Roman" w:hAnsi="Times New Roman"/>
          <w:sz w:val="24"/>
          <w:szCs w:val="24"/>
        </w:rPr>
        <w:t xml:space="preserve">постельного белья на </w:t>
      </w:r>
      <w:r w:rsidR="00D40013">
        <w:rPr>
          <w:rFonts w:ascii="Times New Roman" w:hAnsi="Times New Roman"/>
          <w:sz w:val="24"/>
          <w:szCs w:val="24"/>
        </w:rPr>
        <w:t>41</w:t>
      </w:r>
      <w:r w:rsidRPr="00DA3776">
        <w:rPr>
          <w:rFonts w:ascii="Times New Roman" w:hAnsi="Times New Roman"/>
          <w:sz w:val="24"/>
          <w:szCs w:val="24"/>
        </w:rPr>
        <w:t>,</w:t>
      </w:r>
      <w:r w:rsidR="00D40013">
        <w:rPr>
          <w:rFonts w:ascii="Times New Roman" w:hAnsi="Times New Roman"/>
          <w:sz w:val="24"/>
          <w:szCs w:val="24"/>
        </w:rPr>
        <w:t>6</w:t>
      </w:r>
      <w:r w:rsidRPr="00DA3776">
        <w:rPr>
          <w:rFonts w:ascii="Times New Roman" w:hAnsi="Times New Roman"/>
          <w:sz w:val="24"/>
          <w:szCs w:val="24"/>
        </w:rPr>
        <w:t xml:space="preserve">%, </w:t>
      </w:r>
      <w:r w:rsidR="007C3D14">
        <w:rPr>
          <w:rFonts w:ascii="Times New Roman" w:hAnsi="Times New Roman"/>
          <w:sz w:val="24"/>
          <w:szCs w:val="24"/>
        </w:rPr>
        <w:t>к</w:t>
      </w:r>
      <w:r w:rsidR="007C3D14" w:rsidRPr="007C3D14">
        <w:rPr>
          <w:rFonts w:ascii="Times New Roman" w:hAnsi="Times New Roman"/>
          <w:sz w:val="24"/>
          <w:szCs w:val="24"/>
        </w:rPr>
        <w:t>омбайн</w:t>
      </w:r>
      <w:r w:rsidR="007C3D14">
        <w:rPr>
          <w:rFonts w:ascii="Times New Roman" w:hAnsi="Times New Roman"/>
          <w:sz w:val="24"/>
          <w:szCs w:val="24"/>
        </w:rPr>
        <w:t>ов</w:t>
      </w:r>
      <w:r w:rsidR="007C3D14" w:rsidRPr="007C3D14">
        <w:rPr>
          <w:rFonts w:ascii="Times New Roman" w:hAnsi="Times New Roman"/>
          <w:sz w:val="24"/>
          <w:szCs w:val="24"/>
        </w:rPr>
        <w:t xml:space="preserve"> зерноуборочны</w:t>
      </w:r>
      <w:r w:rsidR="007C3D14">
        <w:rPr>
          <w:rFonts w:ascii="Times New Roman" w:hAnsi="Times New Roman"/>
          <w:sz w:val="24"/>
          <w:szCs w:val="24"/>
        </w:rPr>
        <w:t>х</w:t>
      </w:r>
      <w:r w:rsidRPr="00DA3776">
        <w:rPr>
          <w:rFonts w:ascii="Times New Roman" w:hAnsi="Times New Roman"/>
          <w:sz w:val="24"/>
          <w:szCs w:val="24"/>
        </w:rPr>
        <w:t xml:space="preserve"> на </w:t>
      </w:r>
      <w:r w:rsidR="007C3D14">
        <w:rPr>
          <w:rFonts w:ascii="Times New Roman" w:hAnsi="Times New Roman"/>
          <w:sz w:val="24"/>
          <w:szCs w:val="24"/>
        </w:rPr>
        <w:t>52</w:t>
      </w:r>
      <w:r w:rsidRPr="00DA3776">
        <w:rPr>
          <w:rFonts w:ascii="Times New Roman" w:hAnsi="Times New Roman"/>
          <w:sz w:val="24"/>
          <w:szCs w:val="24"/>
        </w:rPr>
        <w:t>,</w:t>
      </w:r>
      <w:r w:rsidR="007C3D14">
        <w:rPr>
          <w:rFonts w:ascii="Times New Roman" w:hAnsi="Times New Roman"/>
          <w:sz w:val="24"/>
          <w:szCs w:val="24"/>
        </w:rPr>
        <w:t>8</w:t>
      </w:r>
      <w:r w:rsidRPr="00DA3776">
        <w:rPr>
          <w:rFonts w:ascii="Times New Roman" w:hAnsi="Times New Roman"/>
          <w:sz w:val="24"/>
          <w:szCs w:val="24"/>
        </w:rPr>
        <w:t xml:space="preserve">%, </w:t>
      </w:r>
      <w:r w:rsidR="007C3D14" w:rsidRPr="007C3D14">
        <w:rPr>
          <w:rFonts w:ascii="Times New Roman" w:hAnsi="Times New Roman"/>
          <w:sz w:val="24"/>
          <w:szCs w:val="24"/>
        </w:rPr>
        <w:t>дверей и их коробок полимерных</w:t>
      </w:r>
      <w:r w:rsidRPr="00DA3776">
        <w:rPr>
          <w:rFonts w:ascii="Times New Roman" w:hAnsi="Times New Roman"/>
          <w:sz w:val="24"/>
          <w:szCs w:val="24"/>
        </w:rPr>
        <w:t xml:space="preserve"> на </w:t>
      </w:r>
      <w:r w:rsidR="007C3D14">
        <w:rPr>
          <w:rFonts w:ascii="Times New Roman" w:hAnsi="Times New Roman"/>
          <w:sz w:val="24"/>
          <w:szCs w:val="24"/>
        </w:rPr>
        <w:t>34</w:t>
      </w:r>
      <w:r w:rsidRPr="00DA3776">
        <w:rPr>
          <w:rFonts w:ascii="Times New Roman" w:hAnsi="Times New Roman"/>
          <w:sz w:val="24"/>
          <w:szCs w:val="24"/>
        </w:rPr>
        <w:t>,</w:t>
      </w:r>
      <w:r w:rsidR="007C3D14">
        <w:rPr>
          <w:rFonts w:ascii="Times New Roman" w:hAnsi="Times New Roman"/>
          <w:sz w:val="24"/>
          <w:szCs w:val="24"/>
        </w:rPr>
        <w:t>8</w:t>
      </w:r>
      <w:r w:rsidRPr="00DA3776">
        <w:rPr>
          <w:rFonts w:ascii="Times New Roman" w:hAnsi="Times New Roman"/>
          <w:sz w:val="24"/>
          <w:szCs w:val="24"/>
        </w:rPr>
        <w:t>%.</w:t>
      </w:r>
    </w:p>
    <w:p w:rsidR="004069DC" w:rsidRDefault="004069DC" w:rsidP="00DA3776">
      <w:pPr>
        <w:pStyle w:val="33"/>
        <w:keepNext w:val="0"/>
        <w:widowControl w:val="0"/>
        <w:tabs>
          <w:tab w:val="left" w:pos="8460"/>
        </w:tabs>
        <w:spacing w:before="120"/>
        <w:ind w:firstLine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A3776" w:rsidRPr="00DA3776" w:rsidRDefault="00DA3776" w:rsidP="00DA3776">
      <w:pPr>
        <w:pStyle w:val="33"/>
        <w:keepNext w:val="0"/>
        <w:widowControl w:val="0"/>
        <w:tabs>
          <w:tab w:val="left" w:pos="8460"/>
        </w:tabs>
        <w:spacing w:before="120"/>
        <w:ind w:firstLine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DA3776">
        <w:rPr>
          <w:rFonts w:ascii="Times New Roman" w:hAnsi="Times New Roman"/>
          <w:b/>
          <w:bCs/>
          <w:i/>
          <w:sz w:val="24"/>
          <w:szCs w:val="24"/>
        </w:rPr>
        <w:t>Строительство</w:t>
      </w:r>
    </w:p>
    <w:p w:rsidR="00DA3776" w:rsidRPr="00DA3776" w:rsidRDefault="00DA3776" w:rsidP="00DA3776">
      <w:pPr>
        <w:pStyle w:val="33"/>
        <w:keepNext w:val="0"/>
        <w:widowControl w:val="0"/>
        <w:tabs>
          <w:tab w:val="left" w:pos="8460"/>
        </w:tabs>
        <w:spacing w:after="0"/>
        <w:ind w:firstLine="0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DA3776">
        <w:rPr>
          <w:rFonts w:ascii="Times New Roman" w:hAnsi="Times New Roman"/>
          <w:b/>
          <w:i/>
          <w:noProof/>
          <w:sz w:val="24"/>
          <w:szCs w:val="24"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81915</wp:posOffset>
            </wp:positionV>
            <wp:extent cx="2896235" cy="2279015"/>
            <wp:effectExtent l="0" t="0" r="0" b="0"/>
            <wp:wrapSquare wrapText="bothSides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DA3776" w:rsidRPr="00DA3776" w:rsidRDefault="00DA3776" w:rsidP="00DA3776">
      <w:pPr>
        <w:pStyle w:val="31"/>
        <w:keepNext w:val="0"/>
        <w:widowControl w:val="0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  <w:highlight w:val="yellow"/>
        </w:rPr>
        <w:sectPr w:rsidR="00DA3776" w:rsidRPr="00DA3776" w:rsidSect="004D56AA">
          <w:type w:val="continuous"/>
          <w:pgSz w:w="11906" w:h="16838"/>
          <w:pgMar w:top="1134" w:right="746" w:bottom="1134" w:left="1080" w:header="708" w:footer="708" w:gutter="0"/>
          <w:cols w:space="720"/>
          <w:docGrid w:linePitch="360"/>
        </w:sectPr>
      </w:pPr>
    </w:p>
    <w:p w:rsidR="00DA3776" w:rsidRPr="00DA3776" w:rsidRDefault="00DA3776" w:rsidP="00DA3776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lastRenderedPageBreak/>
        <w:t>Объем работ, выполненных по виду  экономической  деятельности «Строительство», в январе-</w:t>
      </w:r>
      <w:r w:rsidR="00774531">
        <w:rPr>
          <w:rFonts w:ascii="Times New Roman" w:hAnsi="Times New Roman"/>
          <w:sz w:val="24"/>
          <w:szCs w:val="24"/>
        </w:rPr>
        <w:t>сентябре</w:t>
      </w:r>
      <w:r w:rsidRPr="00DA3776">
        <w:rPr>
          <w:rFonts w:ascii="Times New Roman" w:hAnsi="Times New Roman"/>
          <w:sz w:val="24"/>
          <w:szCs w:val="24"/>
        </w:rPr>
        <w:t xml:space="preserve"> 2011 года составил </w:t>
      </w:r>
      <w:r w:rsidR="00774531">
        <w:rPr>
          <w:rFonts w:ascii="Times New Roman" w:hAnsi="Times New Roman"/>
          <w:sz w:val="24"/>
          <w:szCs w:val="24"/>
        </w:rPr>
        <w:t>12</w:t>
      </w:r>
      <w:r w:rsidRPr="00DA3776">
        <w:rPr>
          <w:rFonts w:ascii="Times New Roman" w:hAnsi="Times New Roman"/>
          <w:sz w:val="24"/>
          <w:szCs w:val="24"/>
        </w:rPr>
        <w:t xml:space="preserve"> </w:t>
      </w:r>
      <w:r w:rsidR="00774531">
        <w:rPr>
          <w:rFonts w:ascii="Times New Roman" w:hAnsi="Times New Roman"/>
          <w:sz w:val="24"/>
          <w:szCs w:val="24"/>
        </w:rPr>
        <w:t>598</w:t>
      </w:r>
      <w:r w:rsidRPr="00DA3776">
        <w:rPr>
          <w:rFonts w:ascii="Times New Roman" w:hAnsi="Times New Roman"/>
          <w:sz w:val="24"/>
          <w:szCs w:val="24"/>
        </w:rPr>
        <w:t>,</w:t>
      </w:r>
      <w:r w:rsidR="00774531">
        <w:rPr>
          <w:rFonts w:ascii="Times New Roman" w:hAnsi="Times New Roman"/>
          <w:sz w:val="24"/>
          <w:szCs w:val="24"/>
        </w:rPr>
        <w:t>0</w:t>
      </w:r>
      <w:r w:rsidRPr="00DA3776">
        <w:rPr>
          <w:rFonts w:ascii="Times New Roman" w:hAnsi="Times New Roman"/>
          <w:sz w:val="24"/>
          <w:szCs w:val="24"/>
        </w:rPr>
        <w:t xml:space="preserve"> млн. рублей или </w:t>
      </w:r>
      <w:r w:rsidRPr="00363F0B">
        <w:rPr>
          <w:rFonts w:ascii="Times New Roman" w:hAnsi="Times New Roman"/>
          <w:sz w:val="24"/>
          <w:szCs w:val="24"/>
        </w:rPr>
        <w:t>1</w:t>
      </w:r>
      <w:r w:rsidR="00774531" w:rsidRPr="00363F0B">
        <w:rPr>
          <w:rFonts w:ascii="Times New Roman" w:hAnsi="Times New Roman"/>
          <w:sz w:val="24"/>
          <w:szCs w:val="24"/>
        </w:rPr>
        <w:t>06</w:t>
      </w:r>
      <w:r w:rsidRPr="00363F0B">
        <w:rPr>
          <w:rFonts w:ascii="Times New Roman" w:hAnsi="Times New Roman"/>
          <w:sz w:val="24"/>
          <w:szCs w:val="24"/>
        </w:rPr>
        <w:t>,</w:t>
      </w:r>
      <w:r w:rsidR="00774531" w:rsidRPr="00363F0B">
        <w:rPr>
          <w:rFonts w:ascii="Times New Roman" w:hAnsi="Times New Roman"/>
          <w:sz w:val="24"/>
          <w:szCs w:val="24"/>
        </w:rPr>
        <w:t>4</w:t>
      </w:r>
      <w:r w:rsidRPr="00DA3776">
        <w:rPr>
          <w:rFonts w:ascii="Times New Roman" w:hAnsi="Times New Roman"/>
          <w:sz w:val="24"/>
          <w:szCs w:val="24"/>
        </w:rPr>
        <w:t>% к соответствующему периоду 2010 года.</w:t>
      </w:r>
    </w:p>
    <w:p w:rsidR="00DA3776" w:rsidRPr="00DA3776" w:rsidRDefault="00DA3776" w:rsidP="00DA3776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Общая площадь введенного жилья составила </w:t>
      </w:r>
      <w:r w:rsidR="00774531">
        <w:rPr>
          <w:rFonts w:ascii="Times New Roman" w:hAnsi="Times New Roman"/>
          <w:sz w:val="24"/>
          <w:szCs w:val="24"/>
        </w:rPr>
        <w:t>412</w:t>
      </w:r>
      <w:r w:rsidRPr="00DA3776">
        <w:rPr>
          <w:rFonts w:ascii="Times New Roman" w:hAnsi="Times New Roman"/>
          <w:sz w:val="24"/>
          <w:szCs w:val="24"/>
        </w:rPr>
        <w:t>,</w:t>
      </w:r>
      <w:r w:rsidR="00774531">
        <w:rPr>
          <w:rFonts w:ascii="Times New Roman" w:hAnsi="Times New Roman"/>
          <w:sz w:val="24"/>
          <w:szCs w:val="24"/>
        </w:rPr>
        <w:t>3</w:t>
      </w:r>
      <w:r w:rsidRPr="00DA3776">
        <w:rPr>
          <w:rFonts w:ascii="Times New Roman" w:hAnsi="Times New Roman"/>
          <w:sz w:val="24"/>
          <w:szCs w:val="24"/>
        </w:rPr>
        <w:t xml:space="preserve"> тыс. кв. м. или 96,</w:t>
      </w:r>
      <w:r w:rsidR="00774531">
        <w:rPr>
          <w:rFonts w:ascii="Times New Roman" w:hAnsi="Times New Roman"/>
          <w:sz w:val="24"/>
          <w:szCs w:val="24"/>
        </w:rPr>
        <w:t>3</w:t>
      </w:r>
      <w:r w:rsidRPr="00DA3776">
        <w:rPr>
          <w:rFonts w:ascii="Times New Roman" w:hAnsi="Times New Roman"/>
          <w:sz w:val="24"/>
          <w:szCs w:val="24"/>
        </w:rPr>
        <w:t>% к соответствующему периоду 2010 года.</w:t>
      </w:r>
    </w:p>
    <w:p w:rsidR="00DA3776" w:rsidRPr="00DA3776" w:rsidRDefault="00943CCB" w:rsidP="00DA3776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1007745</wp:posOffset>
            </wp:positionV>
            <wp:extent cx="2943225" cy="2295525"/>
            <wp:effectExtent l="0" t="0" r="0" b="0"/>
            <wp:wrapSquare wrapText="bothSides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DA3776" w:rsidRPr="00DA3776">
        <w:rPr>
          <w:rFonts w:ascii="Times New Roman" w:hAnsi="Times New Roman"/>
          <w:sz w:val="24"/>
          <w:szCs w:val="24"/>
        </w:rPr>
        <w:t>Средняя фактическая стоимость строительства одного квадратного метра общей площади вновь введенных жилых домов (без учета индивидуальных жилых домов, построенных  населением за счет собственных и заемных средств) в январе-</w:t>
      </w:r>
      <w:r w:rsidR="00000D5C">
        <w:rPr>
          <w:rFonts w:ascii="Times New Roman" w:hAnsi="Times New Roman"/>
          <w:sz w:val="24"/>
          <w:szCs w:val="24"/>
        </w:rPr>
        <w:t>сентябре</w:t>
      </w:r>
      <w:r w:rsidR="00DA3776" w:rsidRPr="00DA3776">
        <w:rPr>
          <w:rFonts w:ascii="Times New Roman" w:hAnsi="Times New Roman"/>
          <w:sz w:val="24"/>
          <w:szCs w:val="24"/>
        </w:rPr>
        <w:t xml:space="preserve"> 2011 года – 37</w:t>
      </w:r>
      <w:r w:rsidR="00912CDC">
        <w:rPr>
          <w:rFonts w:ascii="Times New Roman" w:hAnsi="Times New Roman"/>
          <w:sz w:val="24"/>
          <w:szCs w:val="24"/>
        </w:rPr>
        <w:t xml:space="preserve"> </w:t>
      </w:r>
      <w:r w:rsidR="00435A42">
        <w:rPr>
          <w:rFonts w:ascii="Times New Roman" w:hAnsi="Times New Roman"/>
          <w:sz w:val="24"/>
          <w:szCs w:val="24"/>
        </w:rPr>
        <w:t>822</w:t>
      </w:r>
      <w:r w:rsidR="00DA3776" w:rsidRPr="00DA3776">
        <w:rPr>
          <w:rFonts w:ascii="Times New Roman" w:hAnsi="Times New Roman"/>
          <w:sz w:val="24"/>
          <w:szCs w:val="24"/>
        </w:rPr>
        <w:t>рублей.</w:t>
      </w:r>
    </w:p>
    <w:p w:rsidR="00DA3776" w:rsidRPr="00DA3776" w:rsidRDefault="00DA3776" w:rsidP="00DA3776">
      <w:pPr>
        <w:pStyle w:val="33"/>
        <w:keepNext w:val="0"/>
        <w:widowControl w:val="0"/>
        <w:tabs>
          <w:tab w:val="left" w:pos="8460"/>
        </w:tabs>
        <w:spacing w:after="0"/>
        <w:ind w:left="4820" w:firstLine="0"/>
        <w:rPr>
          <w:rFonts w:ascii="Times New Roman" w:hAnsi="Times New Roman"/>
          <w:sz w:val="24"/>
          <w:szCs w:val="24"/>
        </w:rPr>
      </w:pPr>
    </w:p>
    <w:p w:rsidR="00DA3776" w:rsidRPr="00DA3776" w:rsidRDefault="00DA3776" w:rsidP="00DA3776">
      <w:pPr>
        <w:pStyle w:val="33"/>
        <w:keepNext w:val="0"/>
        <w:widowControl w:val="0"/>
        <w:tabs>
          <w:tab w:val="left" w:pos="8460"/>
        </w:tabs>
        <w:spacing w:after="0"/>
        <w:ind w:firstLine="540"/>
        <w:rPr>
          <w:rFonts w:ascii="Times New Roman" w:hAnsi="Times New Roman"/>
          <w:sz w:val="24"/>
          <w:szCs w:val="24"/>
          <w:highlight w:val="yellow"/>
        </w:rPr>
      </w:pPr>
    </w:p>
    <w:p w:rsidR="00DA3776" w:rsidRPr="00DA3776" w:rsidRDefault="00DA3776" w:rsidP="00DA3776">
      <w:pPr>
        <w:pStyle w:val="33"/>
        <w:keepNext w:val="0"/>
        <w:widowControl w:val="0"/>
        <w:tabs>
          <w:tab w:val="left" w:pos="8460"/>
        </w:tabs>
        <w:spacing w:after="0"/>
        <w:ind w:firstLine="540"/>
        <w:rPr>
          <w:rFonts w:ascii="Times New Roman" w:hAnsi="Times New Roman"/>
          <w:sz w:val="24"/>
          <w:szCs w:val="24"/>
          <w:highlight w:val="yellow"/>
        </w:rPr>
        <w:sectPr w:rsidR="00DA3776" w:rsidRPr="00DA3776" w:rsidSect="004D56AA">
          <w:type w:val="continuous"/>
          <w:pgSz w:w="11906" w:h="16838"/>
          <w:pgMar w:top="1134" w:right="424" w:bottom="851" w:left="1080" w:header="708" w:footer="708" w:gutter="0"/>
          <w:cols w:space="720"/>
          <w:docGrid w:linePitch="360"/>
        </w:sectPr>
      </w:pPr>
    </w:p>
    <w:p w:rsidR="00DA3776" w:rsidRPr="00DA3776" w:rsidRDefault="00DA3776" w:rsidP="00DA3776">
      <w:pPr>
        <w:pStyle w:val="33"/>
        <w:keepNext w:val="0"/>
        <w:widowControl w:val="0"/>
        <w:tabs>
          <w:tab w:val="left" w:pos="8460"/>
        </w:tabs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DA3776">
        <w:rPr>
          <w:rFonts w:ascii="Times New Roman" w:hAnsi="Times New Roman"/>
          <w:b/>
          <w:i/>
          <w:sz w:val="24"/>
          <w:szCs w:val="24"/>
        </w:rPr>
        <w:lastRenderedPageBreak/>
        <w:t xml:space="preserve">Рынок товаров и услуг </w:t>
      </w:r>
    </w:p>
    <w:p w:rsidR="00DA3776" w:rsidRPr="00DA3776" w:rsidRDefault="00DA3776" w:rsidP="00DA3776">
      <w:pPr>
        <w:pStyle w:val="a4"/>
        <w:keepNext w:val="0"/>
        <w:widowControl w:val="0"/>
        <w:spacing w:after="0"/>
        <w:ind w:firstLine="539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>За январь-</w:t>
      </w:r>
      <w:r w:rsidR="00000D5C">
        <w:rPr>
          <w:rFonts w:ascii="Times New Roman" w:hAnsi="Times New Roman"/>
          <w:sz w:val="24"/>
          <w:szCs w:val="24"/>
        </w:rPr>
        <w:t>сентябрь</w:t>
      </w:r>
      <w:r w:rsidRPr="00DA3776">
        <w:rPr>
          <w:rFonts w:ascii="Times New Roman" w:hAnsi="Times New Roman"/>
          <w:sz w:val="24"/>
          <w:szCs w:val="24"/>
        </w:rPr>
        <w:t xml:space="preserve"> 2011 года населению города продано потребительских товаров на сумму </w:t>
      </w:r>
      <w:r w:rsidR="00912CDC">
        <w:rPr>
          <w:rFonts w:ascii="Times New Roman" w:hAnsi="Times New Roman"/>
          <w:sz w:val="24"/>
          <w:szCs w:val="24"/>
        </w:rPr>
        <w:t>148</w:t>
      </w:r>
      <w:r w:rsidRPr="00DA3776">
        <w:rPr>
          <w:rFonts w:ascii="Times New Roman" w:hAnsi="Times New Roman"/>
          <w:sz w:val="24"/>
          <w:szCs w:val="24"/>
        </w:rPr>
        <w:t>,</w:t>
      </w:r>
      <w:r w:rsidR="00912CDC">
        <w:rPr>
          <w:rFonts w:ascii="Times New Roman" w:hAnsi="Times New Roman"/>
          <w:sz w:val="24"/>
          <w:szCs w:val="24"/>
        </w:rPr>
        <w:t>0</w:t>
      </w:r>
      <w:r w:rsidRPr="00DA3776">
        <w:rPr>
          <w:rFonts w:ascii="Times New Roman" w:hAnsi="Times New Roman"/>
          <w:sz w:val="24"/>
          <w:szCs w:val="24"/>
        </w:rPr>
        <w:t xml:space="preserve"> млрд рублей, что на </w:t>
      </w:r>
      <w:r w:rsidR="00912CDC">
        <w:rPr>
          <w:rFonts w:ascii="Times New Roman" w:hAnsi="Times New Roman"/>
          <w:sz w:val="24"/>
          <w:szCs w:val="24"/>
        </w:rPr>
        <w:t>6</w:t>
      </w:r>
      <w:r w:rsidRPr="00DA3776">
        <w:rPr>
          <w:rFonts w:ascii="Times New Roman" w:hAnsi="Times New Roman"/>
          <w:sz w:val="24"/>
          <w:szCs w:val="24"/>
        </w:rPr>
        <w:t>,4% выше, чем за аналогичный период прошлого года.</w:t>
      </w:r>
    </w:p>
    <w:p w:rsidR="00DA3776" w:rsidRPr="00DA3776" w:rsidRDefault="00DA3776" w:rsidP="00DA3776">
      <w:pPr>
        <w:pStyle w:val="a4"/>
        <w:keepNext w:val="0"/>
        <w:widowControl w:val="0"/>
        <w:spacing w:after="0"/>
        <w:ind w:firstLine="539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 xml:space="preserve">Оборот общественного питания составил </w:t>
      </w:r>
      <w:r w:rsidR="00912CDC">
        <w:rPr>
          <w:rFonts w:ascii="Times New Roman" w:hAnsi="Times New Roman"/>
          <w:sz w:val="24"/>
          <w:szCs w:val="24"/>
        </w:rPr>
        <w:t>4</w:t>
      </w:r>
      <w:r w:rsidRPr="00DA3776">
        <w:rPr>
          <w:rFonts w:ascii="Times New Roman" w:hAnsi="Times New Roman"/>
          <w:sz w:val="24"/>
          <w:szCs w:val="24"/>
        </w:rPr>
        <w:t>,</w:t>
      </w:r>
      <w:r w:rsidR="00912CDC">
        <w:rPr>
          <w:rFonts w:ascii="Times New Roman" w:hAnsi="Times New Roman"/>
          <w:sz w:val="24"/>
          <w:szCs w:val="24"/>
        </w:rPr>
        <w:t>1</w:t>
      </w:r>
      <w:r w:rsidRPr="00DA3776">
        <w:rPr>
          <w:rFonts w:ascii="Times New Roman" w:hAnsi="Times New Roman"/>
          <w:sz w:val="24"/>
          <w:szCs w:val="24"/>
        </w:rPr>
        <w:t>  млрд рублей (10</w:t>
      </w:r>
      <w:r w:rsidR="00912CDC">
        <w:rPr>
          <w:rFonts w:ascii="Times New Roman" w:hAnsi="Times New Roman"/>
          <w:sz w:val="24"/>
          <w:szCs w:val="24"/>
        </w:rPr>
        <w:t>5</w:t>
      </w:r>
      <w:r w:rsidRPr="00DA3776">
        <w:rPr>
          <w:rFonts w:ascii="Times New Roman" w:hAnsi="Times New Roman"/>
          <w:sz w:val="24"/>
          <w:szCs w:val="24"/>
        </w:rPr>
        <w:t>,</w:t>
      </w:r>
      <w:r w:rsidR="00912CDC">
        <w:rPr>
          <w:rFonts w:ascii="Times New Roman" w:hAnsi="Times New Roman"/>
          <w:sz w:val="24"/>
          <w:szCs w:val="24"/>
        </w:rPr>
        <w:t>2</w:t>
      </w:r>
      <w:r w:rsidRPr="00DA3776">
        <w:rPr>
          <w:rFonts w:ascii="Times New Roman" w:hAnsi="Times New Roman"/>
          <w:sz w:val="24"/>
          <w:szCs w:val="24"/>
        </w:rPr>
        <w:t xml:space="preserve">% к </w:t>
      </w:r>
      <w:r w:rsidR="00912CDC">
        <w:rPr>
          <w:rFonts w:ascii="Times New Roman" w:hAnsi="Times New Roman"/>
          <w:sz w:val="24"/>
          <w:szCs w:val="24"/>
        </w:rPr>
        <w:t>3</w:t>
      </w:r>
      <w:r w:rsidRPr="00DA3776">
        <w:rPr>
          <w:rFonts w:ascii="Times New Roman" w:hAnsi="Times New Roman"/>
          <w:sz w:val="24"/>
          <w:szCs w:val="24"/>
        </w:rPr>
        <w:t xml:space="preserve"> кварталу 2010 года). </w:t>
      </w:r>
    </w:p>
    <w:p w:rsidR="00DA3776" w:rsidRPr="00DA3776" w:rsidRDefault="00DA3776" w:rsidP="00DA3776">
      <w:pPr>
        <w:pStyle w:val="a4"/>
        <w:keepNext w:val="0"/>
        <w:widowControl w:val="0"/>
        <w:spacing w:after="0"/>
        <w:ind w:firstLine="539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>В  январе-</w:t>
      </w:r>
      <w:r w:rsidR="00912CDC">
        <w:rPr>
          <w:rFonts w:ascii="Times New Roman" w:hAnsi="Times New Roman"/>
          <w:sz w:val="24"/>
          <w:szCs w:val="24"/>
        </w:rPr>
        <w:t>сентябре</w:t>
      </w:r>
      <w:r w:rsidRPr="00DA3776">
        <w:rPr>
          <w:rFonts w:ascii="Times New Roman" w:hAnsi="Times New Roman"/>
          <w:sz w:val="24"/>
          <w:szCs w:val="24"/>
        </w:rPr>
        <w:t xml:space="preserve"> 2011 года населению  </w:t>
      </w:r>
      <w:r w:rsidRPr="00DA3776">
        <w:rPr>
          <w:rFonts w:ascii="Times New Roman" w:hAnsi="Times New Roman"/>
          <w:sz w:val="24"/>
          <w:szCs w:val="24"/>
        </w:rPr>
        <w:lastRenderedPageBreak/>
        <w:t xml:space="preserve">краевого  центра оказано платных услуг на сумму </w:t>
      </w:r>
      <w:r w:rsidR="00912CDC">
        <w:rPr>
          <w:rFonts w:ascii="Times New Roman" w:hAnsi="Times New Roman"/>
          <w:sz w:val="24"/>
          <w:szCs w:val="24"/>
        </w:rPr>
        <w:t>3</w:t>
      </w:r>
      <w:r w:rsidRPr="00DA3776">
        <w:rPr>
          <w:rFonts w:ascii="Times New Roman" w:hAnsi="Times New Roman"/>
          <w:sz w:val="24"/>
          <w:szCs w:val="24"/>
        </w:rPr>
        <w:t>1,</w:t>
      </w:r>
      <w:r w:rsidR="00912CDC">
        <w:rPr>
          <w:rFonts w:ascii="Times New Roman" w:hAnsi="Times New Roman"/>
          <w:sz w:val="24"/>
          <w:szCs w:val="24"/>
        </w:rPr>
        <w:t>1</w:t>
      </w:r>
      <w:r w:rsidRPr="00DA3776">
        <w:rPr>
          <w:rFonts w:ascii="Times New Roman" w:hAnsi="Times New Roman"/>
          <w:sz w:val="24"/>
          <w:szCs w:val="24"/>
        </w:rPr>
        <w:t xml:space="preserve"> млрд</w:t>
      </w:r>
      <w:r w:rsidR="00912CDC">
        <w:rPr>
          <w:rFonts w:ascii="Times New Roman" w:hAnsi="Times New Roman"/>
          <w:sz w:val="24"/>
          <w:szCs w:val="24"/>
        </w:rPr>
        <w:t>.</w:t>
      </w:r>
      <w:r w:rsidRPr="00DA3776">
        <w:rPr>
          <w:rFonts w:ascii="Times New Roman" w:hAnsi="Times New Roman"/>
          <w:sz w:val="24"/>
          <w:szCs w:val="24"/>
        </w:rPr>
        <w:t xml:space="preserve">  рублей, что на </w:t>
      </w:r>
      <w:r w:rsidR="00912CDC">
        <w:rPr>
          <w:rFonts w:ascii="Times New Roman" w:hAnsi="Times New Roman"/>
          <w:sz w:val="24"/>
          <w:szCs w:val="24"/>
        </w:rPr>
        <w:t>10</w:t>
      </w:r>
      <w:r w:rsidRPr="00DA3776">
        <w:rPr>
          <w:rFonts w:ascii="Times New Roman" w:hAnsi="Times New Roman"/>
          <w:sz w:val="24"/>
          <w:szCs w:val="24"/>
        </w:rPr>
        <w:t xml:space="preserve">,3% больше, чем за январь-март 2010 года. Среди всех видов платных услуг преобладают </w:t>
      </w:r>
      <w:r w:rsidR="00912CDC" w:rsidRPr="00DA3776">
        <w:rPr>
          <w:rFonts w:ascii="Times New Roman" w:hAnsi="Times New Roman"/>
          <w:sz w:val="24"/>
          <w:szCs w:val="24"/>
        </w:rPr>
        <w:t>услуги связи (</w:t>
      </w:r>
      <w:r w:rsidR="00912CDC">
        <w:rPr>
          <w:rFonts w:ascii="Times New Roman" w:hAnsi="Times New Roman"/>
          <w:sz w:val="24"/>
          <w:szCs w:val="24"/>
        </w:rPr>
        <w:t>37</w:t>
      </w:r>
      <w:r w:rsidR="00912CDC" w:rsidRPr="00DA3776">
        <w:rPr>
          <w:rFonts w:ascii="Times New Roman" w:hAnsi="Times New Roman"/>
          <w:sz w:val="24"/>
          <w:szCs w:val="24"/>
        </w:rPr>
        <w:t>,</w:t>
      </w:r>
      <w:r w:rsidR="00912CDC">
        <w:rPr>
          <w:rFonts w:ascii="Times New Roman" w:hAnsi="Times New Roman"/>
          <w:sz w:val="24"/>
          <w:szCs w:val="24"/>
        </w:rPr>
        <w:t>5</w:t>
      </w:r>
      <w:r w:rsidR="00912CDC" w:rsidRPr="00912CDC">
        <w:rPr>
          <w:rFonts w:ascii="Times New Roman" w:hAnsi="Times New Roman"/>
          <w:sz w:val="24"/>
          <w:szCs w:val="24"/>
        </w:rPr>
        <w:t xml:space="preserve"> </w:t>
      </w:r>
      <w:r w:rsidR="00912CDC" w:rsidRPr="00DA3776">
        <w:rPr>
          <w:rFonts w:ascii="Times New Roman" w:hAnsi="Times New Roman"/>
          <w:sz w:val="24"/>
          <w:szCs w:val="24"/>
        </w:rPr>
        <w:t>%</w:t>
      </w:r>
      <w:r w:rsidR="00912CDC">
        <w:rPr>
          <w:rFonts w:ascii="Times New Roman" w:hAnsi="Times New Roman"/>
          <w:sz w:val="24"/>
          <w:szCs w:val="24"/>
        </w:rPr>
        <w:t xml:space="preserve"> </w:t>
      </w:r>
      <w:r w:rsidR="00912CDC" w:rsidRPr="00DA3776">
        <w:rPr>
          <w:rFonts w:ascii="Times New Roman" w:hAnsi="Times New Roman"/>
          <w:sz w:val="24"/>
          <w:szCs w:val="24"/>
        </w:rPr>
        <w:t xml:space="preserve">от общего объема), </w:t>
      </w:r>
      <w:r w:rsidRPr="00DA3776">
        <w:rPr>
          <w:rFonts w:ascii="Times New Roman" w:hAnsi="Times New Roman"/>
          <w:sz w:val="24"/>
          <w:szCs w:val="24"/>
        </w:rPr>
        <w:t>жилищно-коммунальные услуги (</w:t>
      </w:r>
      <w:r w:rsidR="00912CDC">
        <w:rPr>
          <w:rFonts w:ascii="Times New Roman" w:hAnsi="Times New Roman"/>
          <w:sz w:val="24"/>
          <w:szCs w:val="24"/>
        </w:rPr>
        <w:t>28</w:t>
      </w:r>
      <w:r w:rsidRPr="00DA3776">
        <w:rPr>
          <w:rFonts w:ascii="Times New Roman" w:hAnsi="Times New Roman"/>
          <w:sz w:val="24"/>
          <w:szCs w:val="24"/>
        </w:rPr>
        <w:t>,</w:t>
      </w:r>
      <w:r w:rsidR="00912CDC">
        <w:rPr>
          <w:rFonts w:ascii="Times New Roman" w:hAnsi="Times New Roman"/>
          <w:sz w:val="24"/>
          <w:szCs w:val="24"/>
        </w:rPr>
        <w:t>9</w:t>
      </w:r>
      <w:r w:rsidRPr="00DA3776">
        <w:rPr>
          <w:rFonts w:ascii="Times New Roman" w:hAnsi="Times New Roman"/>
          <w:sz w:val="24"/>
          <w:szCs w:val="24"/>
        </w:rPr>
        <w:t>%), транспортные услуги (1</w:t>
      </w:r>
      <w:r w:rsidR="00912CDC">
        <w:rPr>
          <w:rFonts w:ascii="Times New Roman" w:hAnsi="Times New Roman"/>
          <w:sz w:val="24"/>
          <w:szCs w:val="24"/>
        </w:rPr>
        <w:t>5</w:t>
      </w:r>
      <w:r w:rsidRPr="00DA3776">
        <w:rPr>
          <w:rFonts w:ascii="Times New Roman" w:hAnsi="Times New Roman"/>
          <w:sz w:val="24"/>
          <w:szCs w:val="24"/>
        </w:rPr>
        <w:t>,</w:t>
      </w:r>
      <w:r w:rsidR="00912CDC">
        <w:rPr>
          <w:rFonts w:ascii="Times New Roman" w:hAnsi="Times New Roman"/>
          <w:sz w:val="24"/>
          <w:szCs w:val="24"/>
        </w:rPr>
        <w:t>9</w:t>
      </w:r>
      <w:r w:rsidRPr="00DA3776">
        <w:rPr>
          <w:rFonts w:ascii="Times New Roman" w:hAnsi="Times New Roman"/>
          <w:sz w:val="24"/>
          <w:szCs w:val="24"/>
        </w:rPr>
        <w:t>%).</w:t>
      </w:r>
    </w:p>
    <w:p w:rsidR="00DA3776" w:rsidRPr="00DA3776" w:rsidRDefault="00DA3776" w:rsidP="00DA3776">
      <w:pPr>
        <w:keepNext w:val="0"/>
        <w:widowControl w:val="0"/>
        <w:ind w:firstLine="539"/>
        <w:rPr>
          <w:rFonts w:ascii="Times New Roman" w:hAnsi="Times New Roman"/>
          <w:sz w:val="24"/>
          <w:szCs w:val="24"/>
          <w:highlight w:val="yellow"/>
        </w:rPr>
      </w:pPr>
    </w:p>
    <w:p w:rsidR="00DA3776" w:rsidRPr="00DA3776" w:rsidRDefault="00DA3776" w:rsidP="00DA3776">
      <w:pPr>
        <w:keepNext w:val="0"/>
        <w:widowControl w:val="0"/>
        <w:ind w:firstLine="539"/>
        <w:rPr>
          <w:rFonts w:ascii="Times New Roman" w:hAnsi="Times New Roman"/>
          <w:sz w:val="24"/>
          <w:szCs w:val="24"/>
        </w:rPr>
      </w:pPr>
    </w:p>
    <w:p w:rsidR="00DA3776" w:rsidRPr="00DA3776" w:rsidRDefault="00DA3776" w:rsidP="00DA3776">
      <w:pPr>
        <w:keepNext w:val="0"/>
        <w:widowControl w:val="0"/>
        <w:ind w:firstLine="539"/>
        <w:rPr>
          <w:rFonts w:ascii="Times New Roman" w:hAnsi="Times New Roman"/>
          <w:sz w:val="24"/>
          <w:szCs w:val="24"/>
        </w:rPr>
      </w:pPr>
    </w:p>
    <w:p w:rsidR="00DA3776" w:rsidRPr="00DA3776" w:rsidRDefault="00DA3776" w:rsidP="00DA3776">
      <w:pPr>
        <w:keepNext w:val="0"/>
        <w:widowControl w:val="0"/>
        <w:ind w:firstLine="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>Заместитель Главы города –</w:t>
      </w:r>
    </w:p>
    <w:p w:rsidR="00DA3776" w:rsidRPr="00DA3776" w:rsidRDefault="00DA3776" w:rsidP="00DA3776">
      <w:pPr>
        <w:keepNext w:val="0"/>
        <w:widowControl w:val="0"/>
        <w:ind w:firstLine="0"/>
        <w:rPr>
          <w:rFonts w:ascii="Times New Roman" w:hAnsi="Times New Roman"/>
          <w:sz w:val="24"/>
          <w:szCs w:val="24"/>
        </w:rPr>
      </w:pPr>
      <w:r w:rsidRPr="00DA3776">
        <w:rPr>
          <w:rFonts w:ascii="Times New Roman" w:hAnsi="Times New Roman"/>
          <w:sz w:val="24"/>
          <w:szCs w:val="24"/>
        </w:rPr>
        <w:t>руководитель департамента экономики</w:t>
      </w:r>
      <w:r w:rsidRPr="00DA3776">
        <w:rPr>
          <w:rFonts w:ascii="Times New Roman" w:hAnsi="Times New Roman"/>
          <w:sz w:val="24"/>
          <w:szCs w:val="24"/>
        </w:rPr>
        <w:tab/>
      </w:r>
      <w:r w:rsidRPr="00DA3776">
        <w:rPr>
          <w:rFonts w:ascii="Times New Roman" w:hAnsi="Times New Roman"/>
          <w:sz w:val="24"/>
          <w:szCs w:val="24"/>
        </w:rPr>
        <w:tab/>
      </w:r>
      <w:r w:rsidRPr="00DA3776">
        <w:rPr>
          <w:rFonts w:ascii="Times New Roman" w:hAnsi="Times New Roman"/>
          <w:sz w:val="24"/>
          <w:szCs w:val="24"/>
        </w:rPr>
        <w:tab/>
      </w:r>
      <w:r w:rsidRPr="00DA3776">
        <w:rPr>
          <w:rFonts w:ascii="Times New Roman" w:hAnsi="Times New Roman"/>
          <w:sz w:val="24"/>
          <w:szCs w:val="24"/>
        </w:rPr>
        <w:tab/>
      </w:r>
      <w:r w:rsidRPr="00DA3776">
        <w:rPr>
          <w:rFonts w:ascii="Times New Roman" w:hAnsi="Times New Roman"/>
          <w:sz w:val="24"/>
          <w:szCs w:val="24"/>
        </w:rPr>
        <w:tab/>
      </w:r>
      <w:r w:rsidRPr="00DA3776">
        <w:rPr>
          <w:rFonts w:ascii="Times New Roman" w:hAnsi="Times New Roman"/>
          <w:sz w:val="24"/>
          <w:szCs w:val="24"/>
        </w:rPr>
        <w:tab/>
        <w:t xml:space="preserve">           Т.В. Зеленская</w:t>
      </w:r>
    </w:p>
    <w:p w:rsidR="00DA3776" w:rsidRPr="00DA3776" w:rsidRDefault="00DA3776" w:rsidP="00DA3776">
      <w:pPr>
        <w:keepNext w:val="0"/>
        <w:ind w:firstLine="0"/>
        <w:jc w:val="left"/>
        <w:rPr>
          <w:rFonts w:ascii="Times New Roman" w:hAnsi="Times New Roman"/>
          <w:b/>
          <w:bCs/>
          <w:i/>
          <w:sz w:val="24"/>
          <w:szCs w:val="24"/>
        </w:rPr>
      </w:pPr>
    </w:p>
    <w:p w:rsidR="00DA3776" w:rsidRPr="00DA3776" w:rsidRDefault="00DA3776" w:rsidP="00DA3776">
      <w:pPr>
        <w:keepNext w:val="0"/>
        <w:widowControl w:val="0"/>
        <w:ind w:firstLine="0"/>
        <w:rPr>
          <w:rFonts w:ascii="Times New Roman" w:hAnsi="Times New Roman"/>
          <w:sz w:val="24"/>
          <w:szCs w:val="24"/>
        </w:rPr>
      </w:pPr>
    </w:p>
    <w:p w:rsidR="00992007" w:rsidRPr="00DA3776" w:rsidRDefault="00992007">
      <w:pPr>
        <w:rPr>
          <w:rFonts w:ascii="Times New Roman" w:hAnsi="Times New Roman"/>
          <w:sz w:val="24"/>
          <w:szCs w:val="24"/>
        </w:rPr>
      </w:pPr>
    </w:p>
    <w:sectPr w:rsidR="00992007" w:rsidRPr="00DA3776" w:rsidSect="004D56AA">
      <w:type w:val="continuous"/>
      <w:pgSz w:w="11906" w:h="16838"/>
      <w:pgMar w:top="1134" w:right="850" w:bottom="1134" w:left="1080" w:header="708" w:footer="708" w:gutter="0"/>
      <w:cols w:space="5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175" w:rsidRDefault="00D72175" w:rsidP="00DA3776">
      <w:r>
        <w:separator/>
      </w:r>
    </w:p>
  </w:endnote>
  <w:endnote w:type="continuationSeparator" w:id="1">
    <w:p w:rsidR="00D72175" w:rsidRDefault="00D72175" w:rsidP="00DA3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175" w:rsidRDefault="00D72175" w:rsidP="00DA3776">
      <w:r>
        <w:separator/>
      </w:r>
    </w:p>
  </w:footnote>
  <w:footnote w:type="continuationSeparator" w:id="1">
    <w:p w:rsidR="00D72175" w:rsidRDefault="00D72175" w:rsidP="00DA3776">
      <w:r>
        <w:continuationSeparator/>
      </w:r>
    </w:p>
  </w:footnote>
  <w:footnote w:id="2">
    <w:p w:rsidR="004D56AA" w:rsidRDefault="004D56AA" w:rsidP="00DA3776">
      <w:pPr>
        <w:pStyle w:val="ab"/>
      </w:pPr>
      <w:r>
        <w:rPr>
          <w:rStyle w:val="ad"/>
        </w:rPr>
        <w:footnoteRef/>
      </w:r>
      <w:r>
        <w:t xml:space="preserve"> </w:t>
      </w:r>
      <w:r w:rsidRPr="00122EC0">
        <w:rPr>
          <w:rFonts w:ascii="Times New Roman" w:hAnsi="Times New Roman"/>
          <w:i/>
          <w:sz w:val="18"/>
        </w:rPr>
        <w:t>по данным опроса предприятий и организаций, проведенного Главным управлением Банка России по Красноярскому краю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AA" w:rsidRDefault="00286792" w:rsidP="004D56AA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D56A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D56AA" w:rsidRDefault="004D56AA" w:rsidP="004D56AA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6AA" w:rsidRPr="00C91374" w:rsidRDefault="00286792" w:rsidP="004D56AA">
    <w:pPr>
      <w:pStyle w:val="a6"/>
      <w:framePr w:wrap="around" w:vAnchor="text" w:hAnchor="margin" w:xAlign="right" w:y="1"/>
      <w:jc w:val="right"/>
      <w:rPr>
        <w:rStyle w:val="aa"/>
        <w:rFonts w:ascii="Times New Roman" w:hAnsi="Times New Roman"/>
      </w:rPr>
    </w:pPr>
    <w:r w:rsidRPr="00B337A0">
      <w:rPr>
        <w:rStyle w:val="aa"/>
        <w:rFonts w:ascii="Times New Roman" w:hAnsi="Times New Roman"/>
      </w:rPr>
      <w:fldChar w:fldCharType="begin"/>
    </w:r>
    <w:r w:rsidR="004D56AA" w:rsidRPr="00B337A0">
      <w:rPr>
        <w:rStyle w:val="aa"/>
        <w:rFonts w:ascii="Times New Roman" w:hAnsi="Times New Roman"/>
      </w:rPr>
      <w:instrText xml:space="preserve">PAGE  </w:instrText>
    </w:r>
    <w:r w:rsidRPr="00B337A0">
      <w:rPr>
        <w:rStyle w:val="aa"/>
        <w:rFonts w:ascii="Times New Roman" w:hAnsi="Times New Roman"/>
      </w:rPr>
      <w:fldChar w:fldCharType="separate"/>
    </w:r>
    <w:r w:rsidR="00C41800">
      <w:rPr>
        <w:rStyle w:val="aa"/>
        <w:rFonts w:ascii="Times New Roman" w:hAnsi="Times New Roman"/>
        <w:noProof/>
      </w:rPr>
      <w:t>5</w:t>
    </w:r>
    <w:r w:rsidRPr="00B337A0">
      <w:rPr>
        <w:rStyle w:val="aa"/>
        <w:rFonts w:ascii="Times New Roman" w:hAnsi="Times New Roman"/>
      </w:rPr>
      <w:fldChar w:fldCharType="end"/>
    </w:r>
  </w:p>
  <w:p w:rsidR="004D56AA" w:rsidRDefault="004D56AA" w:rsidP="004D56A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20C1C"/>
    <w:multiLevelType w:val="multilevel"/>
    <w:tmpl w:val="98F45418"/>
    <w:lvl w:ilvl="0">
      <w:start w:val="8"/>
      <w:numFmt w:val="none"/>
      <w:pStyle w:val="1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none"/>
      <w:lvlRestart w:val="0"/>
      <w:pStyle w:val="2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24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4B0422E"/>
    <w:multiLevelType w:val="hybridMultilevel"/>
    <w:tmpl w:val="5B4E43CC"/>
    <w:lvl w:ilvl="0" w:tplc="F8F6828A">
      <w:start w:val="1"/>
      <w:numFmt w:val="bullet"/>
      <w:lvlText w:val="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776"/>
    <w:rsid w:val="00000D5C"/>
    <w:rsid w:val="000071E6"/>
    <w:rsid w:val="00074830"/>
    <w:rsid w:val="000A637F"/>
    <w:rsid w:val="000B15C6"/>
    <w:rsid w:val="000D25F1"/>
    <w:rsid w:val="000E7D22"/>
    <w:rsid w:val="00110F82"/>
    <w:rsid w:val="00152183"/>
    <w:rsid w:val="00160EDF"/>
    <w:rsid w:val="0017254B"/>
    <w:rsid w:val="00177B82"/>
    <w:rsid w:val="001A4543"/>
    <w:rsid w:val="001C3A71"/>
    <w:rsid w:val="001D2038"/>
    <w:rsid w:val="001D5B1E"/>
    <w:rsid w:val="001D6DB5"/>
    <w:rsid w:val="00212198"/>
    <w:rsid w:val="00282104"/>
    <w:rsid w:val="00286792"/>
    <w:rsid w:val="002E36FF"/>
    <w:rsid w:val="00306D4D"/>
    <w:rsid w:val="003128F8"/>
    <w:rsid w:val="00363F0B"/>
    <w:rsid w:val="0037248A"/>
    <w:rsid w:val="00380506"/>
    <w:rsid w:val="003E4F5B"/>
    <w:rsid w:val="004069DC"/>
    <w:rsid w:val="0041151C"/>
    <w:rsid w:val="00434C7C"/>
    <w:rsid w:val="00435A42"/>
    <w:rsid w:val="004B2B84"/>
    <w:rsid w:val="004C2AB2"/>
    <w:rsid w:val="004D18DA"/>
    <w:rsid w:val="004D39C9"/>
    <w:rsid w:val="004D56AA"/>
    <w:rsid w:val="004F1B7A"/>
    <w:rsid w:val="00506E58"/>
    <w:rsid w:val="0054107C"/>
    <w:rsid w:val="0054700A"/>
    <w:rsid w:val="00557989"/>
    <w:rsid w:val="00577BF1"/>
    <w:rsid w:val="005B5205"/>
    <w:rsid w:val="005C3C05"/>
    <w:rsid w:val="005F5233"/>
    <w:rsid w:val="00603998"/>
    <w:rsid w:val="00650697"/>
    <w:rsid w:val="00655C90"/>
    <w:rsid w:val="006701FB"/>
    <w:rsid w:val="006916B3"/>
    <w:rsid w:val="006C599C"/>
    <w:rsid w:val="006C63D2"/>
    <w:rsid w:val="006E2F2E"/>
    <w:rsid w:val="00717509"/>
    <w:rsid w:val="00743106"/>
    <w:rsid w:val="00774531"/>
    <w:rsid w:val="007A149B"/>
    <w:rsid w:val="007B2D10"/>
    <w:rsid w:val="007C3D14"/>
    <w:rsid w:val="00873E15"/>
    <w:rsid w:val="0088518E"/>
    <w:rsid w:val="008B0B78"/>
    <w:rsid w:val="008B1298"/>
    <w:rsid w:val="0090684C"/>
    <w:rsid w:val="009102D3"/>
    <w:rsid w:val="00912CDC"/>
    <w:rsid w:val="0091571F"/>
    <w:rsid w:val="009173E3"/>
    <w:rsid w:val="009263DB"/>
    <w:rsid w:val="00943CCB"/>
    <w:rsid w:val="00992007"/>
    <w:rsid w:val="009B1E72"/>
    <w:rsid w:val="009C44F7"/>
    <w:rsid w:val="009D0077"/>
    <w:rsid w:val="009D26F1"/>
    <w:rsid w:val="009F0B22"/>
    <w:rsid w:val="009F34B5"/>
    <w:rsid w:val="00A10B12"/>
    <w:rsid w:val="00A11942"/>
    <w:rsid w:val="00A370AE"/>
    <w:rsid w:val="00A64289"/>
    <w:rsid w:val="00AA559A"/>
    <w:rsid w:val="00AA7D32"/>
    <w:rsid w:val="00AF39BB"/>
    <w:rsid w:val="00B05409"/>
    <w:rsid w:val="00B65B89"/>
    <w:rsid w:val="00B74895"/>
    <w:rsid w:val="00B86728"/>
    <w:rsid w:val="00BA2030"/>
    <w:rsid w:val="00BD7BBB"/>
    <w:rsid w:val="00BF1CBD"/>
    <w:rsid w:val="00C00558"/>
    <w:rsid w:val="00C16409"/>
    <w:rsid w:val="00C41800"/>
    <w:rsid w:val="00C47989"/>
    <w:rsid w:val="00C707B8"/>
    <w:rsid w:val="00C72251"/>
    <w:rsid w:val="00CA46AC"/>
    <w:rsid w:val="00CD2BD6"/>
    <w:rsid w:val="00D13766"/>
    <w:rsid w:val="00D40013"/>
    <w:rsid w:val="00D72175"/>
    <w:rsid w:val="00D87289"/>
    <w:rsid w:val="00DA3776"/>
    <w:rsid w:val="00E548E4"/>
    <w:rsid w:val="00E67FB4"/>
    <w:rsid w:val="00E91B2A"/>
    <w:rsid w:val="00EC3BB0"/>
    <w:rsid w:val="00F25E8F"/>
    <w:rsid w:val="00F360D9"/>
    <w:rsid w:val="00F676E9"/>
    <w:rsid w:val="00FA5381"/>
    <w:rsid w:val="00FB54B4"/>
    <w:rsid w:val="00FF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76"/>
    <w:pPr>
      <w:keepNext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3776"/>
    <w:pPr>
      <w:pageBreakBefore/>
      <w:numPr>
        <w:numId w:val="1"/>
      </w:numPr>
      <w:spacing w:before="240" w:after="240"/>
      <w:jc w:val="center"/>
      <w:outlineLvl w:val="0"/>
    </w:pPr>
    <w:rPr>
      <w:b/>
      <w:caps/>
      <w:kern w:val="32"/>
    </w:rPr>
  </w:style>
  <w:style w:type="paragraph" w:styleId="2">
    <w:name w:val="heading 2"/>
    <w:basedOn w:val="a"/>
    <w:next w:val="a"/>
    <w:link w:val="20"/>
    <w:qFormat/>
    <w:rsid w:val="00DA3776"/>
    <w:pPr>
      <w:numPr>
        <w:ilvl w:val="1"/>
        <w:numId w:val="1"/>
      </w:numPr>
      <w:spacing w:before="360" w:after="120" w:line="312" w:lineRule="auto"/>
      <w:jc w:val="center"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DA3776"/>
    <w:pPr>
      <w:numPr>
        <w:ilvl w:val="2"/>
        <w:numId w:val="1"/>
      </w:numPr>
      <w:spacing w:before="300"/>
      <w:jc w:val="center"/>
      <w:outlineLvl w:val="2"/>
    </w:pPr>
    <w:rPr>
      <w:rFonts w:ascii="Tahoma" w:hAnsi="Tahoma"/>
      <w:b/>
    </w:rPr>
  </w:style>
  <w:style w:type="paragraph" w:styleId="4">
    <w:name w:val="heading 4"/>
    <w:basedOn w:val="a"/>
    <w:next w:val="a"/>
    <w:link w:val="40"/>
    <w:qFormat/>
    <w:rsid w:val="00DA3776"/>
    <w:pPr>
      <w:numPr>
        <w:ilvl w:val="3"/>
        <w:numId w:val="1"/>
      </w:numPr>
      <w:spacing w:before="240" w:after="60" w:line="360" w:lineRule="auto"/>
      <w:jc w:val="center"/>
      <w:outlineLvl w:val="3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76"/>
    <w:rPr>
      <w:rFonts w:ascii="Arial" w:eastAsia="Times New Roman" w:hAnsi="Arial" w:cs="Times New Roman"/>
      <w:b/>
      <w:caps/>
      <w:kern w:val="32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A3776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3776"/>
    <w:rPr>
      <w:rFonts w:ascii="Tahoma" w:eastAsia="Times New Roman" w:hAnsi="Tahoma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A3776"/>
    <w:rPr>
      <w:rFonts w:ascii="Arial" w:eastAsia="Times New Roman" w:hAnsi="Arial" w:cs="Times New Roman"/>
      <w:i/>
      <w:szCs w:val="20"/>
      <w:lang w:eastAsia="ru-RU"/>
    </w:rPr>
  </w:style>
  <w:style w:type="paragraph" w:styleId="a3">
    <w:name w:val="List"/>
    <w:basedOn w:val="a"/>
    <w:rsid w:val="00DA3776"/>
    <w:pPr>
      <w:keepNext w:val="0"/>
      <w:ind w:left="283" w:hanging="283"/>
      <w:jc w:val="left"/>
    </w:pPr>
    <w:rPr>
      <w:rFonts w:ascii="Times New Roman" w:hAnsi="Times New Roman"/>
    </w:rPr>
  </w:style>
  <w:style w:type="paragraph" w:styleId="21">
    <w:name w:val="Body Text 2"/>
    <w:basedOn w:val="a"/>
    <w:link w:val="22"/>
    <w:rsid w:val="00DA3776"/>
    <w:pPr>
      <w:ind w:firstLine="0"/>
      <w:jc w:val="center"/>
    </w:pPr>
    <w:rPr>
      <w:rFonts w:cs="Arial"/>
      <w:b/>
      <w:bCs/>
      <w:sz w:val="26"/>
      <w:szCs w:val="24"/>
    </w:rPr>
  </w:style>
  <w:style w:type="character" w:customStyle="1" w:styleId="22">
    <w:name w:val="Основной текст 2 Знак"/>
    <w:basedOn w:val="a0"/>
    <w:link w:val="21"/>
    <w:rsid w:val="00DA3776"/>
    <w:rPr>
      <w:rFonts w:ascii="Arial" w:eastAsia="Times New Roman" w:hAnsi="Arial" w:cs="Arial"/>
      <w:b/>
      <w:bCs/>
      <w:sz w:val="26"/>
      <w:szCs w:val="24"/>
      <w:lang w:eastAsia="ru-RU"/>
    </w:rPr>
  </w:style>
  <w:style w:type="paragraph" w:styleId="31">
    <w:name w:val="Body Text Indent 3"/>
    <w:basedOn w:val="a"/>
    <w:link w:val="32"/>
    <w:rsid w:val="00DA377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A3776"/>
    <w:rPr>
      <w:rFonts w:ascii="Arial" w:eastAsia="Times New Roman" w:hAnsi="Arial" w:cs="Times New Roman"/>
      <w:sz w:val="16"/>
      <w:szCs w:val="16"/>
      <w:lang w:eastAsia="ru-RU"/>
    </w:rPr>
  </w:style>
  <w:style w:type="paragraph" w:styleId="a4">
    <w:name w:val="Body Text"/>
    <w:basedOn w:val="a"/>
    <w:link w:val="a5"/>
    <w:rsid w:val="00DA3776"/>
    <w:pPr>
      <w:spacing w:after="120"/>
    </w:pPr>
  </w:style>
  <w:style w:type="character" w:customStyle="1" w:styleId="a5">
    <w:name w:val="Основной текст Знак"/>
    <w:basedOn w:val="a0"/>
    <w:link w:val="a4"/>
    <w:rsid w:val="00DA377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DA3776"/>
    <w:pPr>
      <w:widowControl w:val="0"/>
    </w:pPr>
    <w:rPr>
      <w:rFonts w:ascii="Times New Roman" w:hAnsi="Times New Roman"/>
      <w:snapToGrid w:val="0"/>
      <w:sz w:val="28"/>
    </w:rPr>
  </w:style>
  <w:style w:type="paragraph" w:styleId="33">
    <w:name w:val="Body Text 3"/>
    <w:basedOn w:val="a"/>
    <w:link w:val="34"/>
    <w:rsid w:val="00DA377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A3776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DA37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A3776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DA37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3776"/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page number"/>
    <w:basedOn w:val="a0"/>
    <w:rsid w:val="00DA3776"/>
  </w:style>
  <w:style w:type="paragraph" w:styleId="ab">
    <w:name w:val="footnote text"/>
    <w:basedOn w:val="a"/>
    <w:link w:val="ac"/>
    <w:rsid w:val="00DA3776"/>
  </w:style>
  <w:style w:type="character" w:customStyle="1" w:styleId="ac">
    <w:name w:val="Текст сноски Знак"/>
    <w:basedOn w:val="a0"/>
    <w:link w:val="ab"/>
    <w:rsid w:val="00DA3776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footnote reference"/>
    <w:basedOn w:val="a0"/>
    <w:rsid w:val="00DA377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DA37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37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Таблица"/>
    <w:basedOn w:val="af1"/>
    <w:rsid w:val="00506E58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  <w:jc w:val="left"/>
    </w:pPr>
    <w:rPr>
      <w:rFonts w:ascii="Arial" w:eastAsia="Times New Roman" w:hAnsi="Arial" w:cs="Times New Roman"/>
      <w:sz w:val="20"/>
      <w:szCs w:val="20"/>
    </w:rPr>
  </w:style>
  <w:style w:type="paragraph" w:styleId="af1">
    <w:name w:val="Message Header"/>
    <w:basedOn w:val="a"/>
    <w:link w:val="af2"/>
    <w:uiPriority w:val="99"/>
    <w:semiHidden/>
    <w:unhideWhenUsed/>
    <w:rsid w:val="00506E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2">
    <w:name w:val="Шапка Знак"/>
    <w:basedOn w:val="a0"/>
    <w:link w:val="af1"/>
    <w:uiPriority w:val="99"/>
    <w:semiHidden/>
    <w:rsid w:val="00506E58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dm-files\Users\&#1044;&#1077;&#1087;&#1072;&#1088;&#1090;&#1072;&#1084;&#1077;&#1085;&#1090;%20&#1101;&#1082;&#1086;&#1085;&#1086;&#1084;&#1080;&#1082;&#1080;\&#1054;&#1090;&#1076;&#1077;&#1083;%20&#1087;&#1083;&#1072;&#1085;&#1080;&#1088;&#1086;&#1074;&#1072;&#1085;&#1080;&#1103;\&#1041;&#1086;&#1088;&#1075;&#1086;&#1103;&#1082;&#1086;&#1074;\&#1050;&#1088;&#1080;&#1079;&#1080;&#1089;%20-%20&#1086;&#1087;&#1077;&#1088;&#1072;&#1090;&#1080;&#1074;&#1082;&#1080;\&#1043;&#1088;&#1072;&#1092;&#1080;&#1082;&#1080;%20&#1089;%20&#1103;&#1085;&#1074;&#1072;&#1088;&#110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Динамика </a:t>
            </a:r>
            <a:r>
              <a:rPr lang="ru-RU" sz="1100" baseline="0"/>
              <a:t>прироста населения</a:t>
            </a:r>
            <a:endParaRPr lang="ru-RU" sz="1100"/>
          </a:p>
        </c:rich>
      </c:tx>
      <c:layout>
        <c:manualLayout>
          <c:xMode val="edge"/>
          <c:yMode val="edge"/>
          <c:x val="0.20905230956430992"/>
          <c:y val="0"/>
        </c:manualLayout>
      </c:layout>
    </c:title>
    <c:plotArea>
      <c:layout>
        <c:manualLayout>
          <c:layoutTarget val="inner"/>
          <c:xMode val="edge"/>
          <c:yMode val="edge"/>
          <c:x val="0.14499319477233222"/>
          <c:y val="0.17438270420808177"/>
          <c:w val="0.8151037493733907"/>
          <c:h val="0.52794443377504663"/>
        </c:manualLayout>
      </c:layout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Миграционный прирост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shade val="30000"/>
                    <a:satMod val="115000"/>
                  </a:schemeClr>
                </a:gs>
                <a:gs pos="50000">
                  <a:schemeClr val="accent1">
                    <a:shade val="67500"/>
                    <a:satMod val="115000"/>
                  </a:schemeClr>
                </a:gs>
                <a:gs pos="100000">
                  <a:schemeClr val="accent1">
                    <a:shade val="100000"/>
                    <a:satMod val="115000"/>
                  </a:schemeClr>
                </a:gs>
              </a:gsLst>
              <a:lin ang="8100000" scaled="1"/>
              <a:tileRect/>
            </a:gradFill>
            <a:ln>
              <a:solidFill>
                <a:sysClr val="windowText" lastClr="000000"/>
              </a:solidFill>
            </a:ln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Лист1!$B$1:$C$1</c:f>
              <c:strCache>
                <c:ptCount val="2"/>
                <c:pt idx="0">
                  <c:v>9 мес. 2010</c:v>
                </c:pt>
                <c:pt idx="1">
                  <c:v>9 мес. 2011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4792</c:v>
                </c:pt>
                <c:pt idx="1">
                  <c:v>6852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Естественный прирост</c:v>
                </c:pt>
              </c:strCache>
            </c:strRef>
          </c:tx>
          <c:spPr>
            <a:gradFill flip="none" rotWithShape="1">
              <a:gsLst>
                <a:gs pos="0">
                  <a:srgbClr val="FFC000">
                    <a:shade val="30000"/>
                    <a:satMod val="115000"/>
                  </a:srgbClr>
                </a:gs>
                <a:gs pos="50000">
                  <a:srgbClr val="FFC000">
                    <a:shade val="67500"/>
                    <a:satMod val="115000"/>
                  </a:srgbClr>
                </a:gs>
                <a:gs pos="100000">
                  <a:srgbClr val="FFC000">
                    <a:shade val="100000"/>
                    <a:satMod val="115000"/>
                  </a:srgbClr>
                </a:gs>
              </a:gsLst>
              <a:lin ang="10800000" scaled="1"/>
              <a:tileRect/>
            </a:gradFill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0"/>
                  <c:y val="1.7767298750366711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0"/>
                  <c:y val="1.6260589377547482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Лист1!$B$1:$C$1</c:f>
              <c:strCache>
                <c:ptCount val="2"/>
                <c:pt idx="0">
                  <c:v>9 мес. 2010</c:v>
                </c:pt>
                <c:pt idx="1">
                  <c:v>9 мес. 2011</c:v>
                </c:pt>
              </c:strCache>
            </c:strRef>
          </c:cat>
          <c:val>
            <c:numRef>
              <c:f>Лист1!$B$3:$C$3</c:f>
              <c:numCache>
                <c:formatCode>General</c:formatCode>
                <c:ptCount val="2"/>
                <c:pt idx="0">
                  <c:v>1516</c:v>
                </c:pt>
                <c:pt idx="1">
                  <c:v>1204</c:v>
                </c:pt>
              </c:numCache>
            </c:numRef>
          </c:val>
        </c:ser>
        <c:dLbls>
          <c:showVal val="1"/>
        </c:dLbls>
        <c:axId val="108116608"/>
        <c:axId val="108122496"/>
      </c:barChart>
      <c:catAx>
        <c:axId val="108116608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08122496"/>
        <c:crosses val="autoZero"/>
        <c:auto val="1"/>
        <c:lblAlgn val="ctr"/>
        <c:lblOffset val="400"/>
      </c:catAx>
      <c:valAx>
        <c:axId val="108122496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/>
                  <a:t>чел.</a:t>
                </a:r>
              </a:p>
            </c:rich>
          </c:tx>
          <c:layout>
            <c:manualLayout>
              <c:xMode val="edge"/>
              <c:yMode val="edge"/>
              <c:x val="4.0442257217847832E-2"/>
              <c:y val="6.0038382298986823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08116608"/>
        <c:crosses val="autoZero"/>
        <c:crossBetween val="between"/>
      </c:valAx>
    </c:plotArea>
    <c:legend>
      <c:legendPos val="b"/>
      <c:txPr>
        <a:bodyPr/>
        <a:lstStyle/>
        <a:p>
          <a:pPr>
            <a:defRPr sz="800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900"/>
            </a:pPr>
            <a:r>
              <a:rPr lang="ru-RU" sz="800" b="1" i="0">
                <a:solidFill>
                  <a:sysClr val="windowText" lastClr="000000"/>
                </a:solidFill>
              </a:rPr>
              <a:t>Темпы роста потребительских цен </a:t>
            </a:r>
          </a:p>
          <a:p>
            <a:pPr>
              <a:defRPr sz="900"/>
            </a:pPr>
            <a:r>
              <a:rPr lang="ru-RU" sz="800" b="1" i="0">
                <a:solidFill>
                  <a:sysClr val="windowText" lastClr="000000"/>
                </a:solidFill>
              </a:rPr>
              <a:t>(в % к декабрю предыдущего года</a:t>
            </a:r>
            <a:r>
              <a:rPr lang="ru-RU" sz="900" b="0"/>
              <a:t>)</a:t>
            </a:r>
          </a:p>
        </c:rich>
      </c:tx>
      <c:layout>
        <c:manualLayout>
          <c:xMode val="edge"/>
          <c:yMode val="edge"/>
          <c:x val="0.24082134843554651"/>
          <c:y val="0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10579543372556"/>
          <c:y val="0.17266806871516496"/>
          <c:w val="0.88942045662744462"/>
          <c:h val="0.5713255798477114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сен.10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shade val="30000"/>
                    <a:satMod val="115000"/>
                  </a:schemeClr>
                </a:gs>
                <a:gs pos="50000">
                  <a:schemeClr val="accent1">
                    <a:shade val="67500"/>
                    <a:satMod val="115000"/>
                  </a:schemeClr>
                </a:gs>
                <a:gs pos="100000">
                  <a:schemeClr val="accent1">
                    <a:shade val="100000"/>
                    <a:satMod val="115000"/>
                  </a:schemeClr>
                </a:gs>
              </a:gsLst>
              <a:path path="circle">
                <a:fillToRect l="100000" b="100000"/>
              </a:path>
              <a:tileRect t="-100000" r="-100000"/>
            </a:gradFill>
          </c:spPr>
          <c:dLbls>
            <c:dLbl>
              <c:idx val="0"/>
              <c:layout>
                <c:manualLayout>
                  <c:x val="-5.4352755188551583E-3"/>
                  <c:y val="-2.2719563900666262E-2"/>
                </c:manualLayout>
              </c:layout>
              <c:showVal val="1"/>
            </c:dLbl>
            <c:dLbl>
              <c:idx val="1"/>
              <c:layout>
                <c:manualLayout>
                  <c:x val="1.8210789893011683E-2"/>
                  <c:y val="-2.2719563900666262E-2"/>
                </c:manualLayout>
              </c:layout>
              <c:showVal val="1"/>
            </c:dLbl>
            <c:dLbl>
              <c:idx val="2"/>
              <c:layout>
                <c:manualLayout>
                  <c:x val="1.4680324377372263E-2"/>
                  <c:y val="-2.2719482725679953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Платные услуги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108</c:v>
                </c:pt>
                <c:pt idx="1">
                  <c:v>102.8</c:v>
                </c:pt>
                <c:pt idx="2">
                  <c:v>110.3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сен.11</c:v>
                </c:pt>
              </c:strCache>
            </c:strRef>
          </c:tx>
          <c:spPr>
            <a:gradFill flip="none" rotWithShape="1">
              <a:gsLst>
                <a:gs pos="0">
                  <a:srgbClr val="C0504D">
                    <a:shade val="30000"/>
                    <a:satMod val="115000"/>
                  </a:srgbClr>
                </a:gs>
                <a:gs pos="50000">
                  <a:srgbClr val="C0504D">
                    <a:shade val="67500"/>
                    <a:satMod val="115000"/>
                  </a:srgbClr>
                </a:gs>
                <a:gs pos="100000">
                  <a:srgbClr val="C0504D">
                    <a:shade val="100000"/>
                    <a:satMod val="115000"/>
                  </a:srgbClr>
                </a:gs>
              </a:gsLst>
              <a:path path="circle">
                <a:fillToRect l="100000" t="100000"/>
              </a:path>
              <a:tileRect r="-100000" b="-100000"/>
            </a:gradFill>
          </c:spPr>
          <c:dLbls>
            <c:dLbl>
              <c:idx val="0"/>
              <c:layout>
                <c:manualLayout>
                  <c:x val="2.9360596941089168E-2"/>
                  <c:y val="-7.1865536038764524E-3"/>
                </c:manualLayout>
              </c:layout>
              <c:showVal val="1"/>
            </c:dLbl>
            <c:dLbl>
              <c:idx val="1"/>
              <c:layout>
                <c:manualLayout>
                  <c:x val="3.0923928726983452E-2"/>
                  <c:y val="-2.0818551527212945E-2"/>
                </c:manualLayout>
              </c:layout>
              <c:showVal val="1"/>
            </c:dLbl>
            <c:dLbl>
              <c:idx val="2"/>
              <c:layout>
                <c:manualLayout>
                  <c:x val="4.4040973132117023E-2"/>
                  <c:y val="-2.7263379270815975E-2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Платные услуги</c:v>
                </c:pt>
              </c:strCache>
            </c:strRef>
          </c:cat>
          <c:val>
            <c:numRef>
              <c:f>Лист1!$C$2:$C$4</c:f>
              <c:numCache>
                <c:formatCode>0.0</c:formatCode>
                <c:ptCount val="3"/>
                <c:pt idx="0">
                  <c:v>103.2</c:v>
                </c:pt>
                <c:pt idx="1">
                  <c:v>104.3</c:v>
                </c:pt>
                <c:pt idx="2" formatCode="General">
                  <c:v>105.5</c:v>
                </c:pt>
              </c:numCache>
            </c:numRef>
          </c:val>
        </c:ser>
        <c:dLbls>
          <c:showVal val="1"/>
        </c:dLbls>
        <c:gapWidth val="43"/>
        <c:shape val="box"/>
        <c:axId val="108052480"/>
        <c:axId val="108054016"/>
        <c:axId val="0"/>
      </c:bar3DChart>
      <c:catAx>
        <c:axId val="108052480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 b="0"/>
            </a:pPr>
            <a:endParaRPr lang="ru-RU"/>
          </a:p>
        </c:txPr>
        <c:crossAx val="108054016"/>
        <c:crosses val="autoZero"/>
        <c:auto val="1"/>
        <c:lblAlgn val="ctr"/>
        <c:lblOffset val="100"/>
      </c:catAx>
      <c:valAx>
        <c:axId val="108054016"/>
        <c:scaling>
          <c:orientation val="minMax"/>
          <c:max val="108"/>
          <c:min val="98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5.6082017931959133E-2"/>
              <c:y val="0.15394399486504284"/>
            </c:manualLayout>
          </c:layout>
        </c:title>
        <c:numFmt formatCode="General" sourceLinked="1"/>
        <c:tickLblPos val="nextTo"/>
        <c:crossAx val="108052480"/>
        <c:crosses val="autoZero"/>
        <c:crossBetween val="between"/>
        <c:majorUnit val="2"/>
      </c:valAx>
    </c:plotArea>
    <c:legend>
      <c:legendPos val="b"/>
      <c:layout>
        <c:manualLayout>
          <c:xMode val="edge"/>
          <c:yMode val="edge"/>
          <c:x val="0.15543458094898471"/>
          <c:y val="0.895653172605821"/>
          <c:w val="0.68179067591334463"/>
          <c:h val="7.7083448123370729E-2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Динамика задолженности по заработной плате</a:t>
            </a:r>
          </a:p>
        </c:rich>
      </c:tx>
      <c:layout>
        <c:manualLayout>
          <c:xMode val="edge"/>
          <c:yMode val="edge"/>
          <c:x val="0.26820089983769491"/>
          <c:y val="1.398166651367185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8302310834999533E-2"/>
          <c:y val="0.18159509614015018"/>
          <c:w val="0.86088227503672132"/>
          <c:h val="0.53788198200464554"/>
        </c:manualLayout>
      </c:layout>
      <c:barChart>
        <c:barDir val="col"/>
        <c:grouping val="clustered"/>
        <c:ser>
          <c:idx val="1"/>
          <c:order val="0"/>
          <c:tx>
            <c:strRef>
              <c:f>Лист1!$A$40</c:f>
              <c:strCache>
                <c:ptCount val="1"/>
                <c:pt idx="0">
                  <c:v>задолженность по з/пл</c:v>
                </c:pt>
              </c:strCache>
            </c:strRef>
          </c:tx>
          <c:spPr>
            <a:gradFill flip="none" rotWithShape="1">
              <a:gsLst>
                <a:gs pos="0">
                  <a:srgbClr val="DDEBCF"/>
                </a:gs>
                <a:gs pos="50000">
                  <a:srgbClr val="9CB86E"/>
                </a:gs>
                <a:gs pos="100000">
                  <a:srgbClr val="156B13"/>
                </a:gs>
              </a:gsLst>
              <a:path path="circle">
                <a:fillToRect l="100000" t="100000"/>
              </a:path>
              <a:tileRect r="-100000" b="-100000"/>
            </a:gra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9740398333109202E-3"/>
                  <c:y val="6.8406923839181899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1150270904159924E-3"/>
                  <c:y val="0.11190244257713297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1.2679810559561226E-3"/>
                  <c:y val="0.12127248284672994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8.4907746803664704E-4"/>
                  <c:y val="6.332425956394129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0"/>
                  <c:y val="7.0968704322221632E-2"/>
                </c:manualLayout>
              </c:layout>
              <c:showVal val="1"/>
            </c:dLbl>
            <c:dLbl>
              <c:idx val="5"/>
              <c:layout>
                <c:manualLayout>
                  <c:x val="2.1248159978431297E-3"/>
                  <c:y val="8.5911590181028202E-2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8.2166199813258636E-2"/>
                </c:manualLayout>
              </c:layout>
              <c:showVal val="1"/>
            </c:dLbl>
            <c:dLbl>
              <c:idx val="7"/>
              <c:layout>
                <c:manualLayout>
                  <c:x val="1.858866375463786E-3"/>
                  <c:y val="0.13915770690895155"/>
                </c:manualLayout>
              </c:layout>
              <c:showVal val="1"/>
            </c:dLbl>
            <c:dLbl>
              <c:idx val="8"/>
              <c:layout>
                <c:manualLayout>
                  <c:x val="0"/>
                  <c:y val="7.842219978298276E-2"/>
                </c:manualLayout>
              </c:layout>
              <c:showVal val="1"/>
            </c:dLbl>
            <c:dLbl>
              <c:idx val="9"/>
              <c:layout>
                <c:manualLayout>
                  <c:x val="1.8451078369367366E-3"/>
                  <c:y val="0.41707315592861338"/>
                </c:manualLayout>
              </c:layout>
              <c:showVal val="1"/>
            </c:dLbl>
            <c:dLbl>
              <c:idx val="10"/>
              <c:layout>
                <c:manualLayout>
                  <c:x val="1.3758538527054785E-5"/>
                  <c:y val="0.35358799984219974"/>
                </c:manualLayout>
              </c:layout>
              <c:showVal val="1"/>
            </c:dLbl>
            <c:dLbl>
              <c:idx val="11"/>
              <c:layout>
                <c:manualLayout>
                  <c:x val="1.858866375463786E-3"/>
                  <c:y val="0.2620710165114451"/>
                </c:manualLayout>
              </c:layout>
              <c:showVal val="1"/>
            </c:dLbl>
            <c:dLbl>
              <c:idx val="12"/>
              <c:layout>
                <c:manualLayout>
                  <c:x val="1.858866375463786E-3"/>
                  <c:y val="0.29675688634384351"/>
                </c:manualLayout>
              </c:layout>
              <c:showVal val="1"/>
            </c:dLbl>
            <c:dLbl>
              <c:idx val="13"/>
              <c:layout>
                <c:manualLayout>
                  <c:x val="0"/>
                  <c:y val="0.23123913221598127"/>
                </c:manualLayout>
              </c:layout>
              <c:showVal val="1"/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Лист1!$B$39:$O$39</c:f>
              <c:strCache>
                <c:ptCount val="14"/>
                <c:pt idx="0">
                  <c:v>1 сен. 2010</c:v>
                </c:pt>
                <c:pt idx="1">
                  <c:v>1 окт. 2010</c:v>
                </c:pt>
                <c:pt idx="2">
                  <c:v>1 нояб. 2010</c:v>
                </c:pt>
                <c:pt idx="3">
                  <c:v>1 дек. 2010</c:v>
                </c:pt>
                <c:pt idx="4">
                  <c:v>1 янв. 2011</c:v>
                </c:pt>
                <c:pt idx="5">
                  <c:v>1 фев. 2011</c:v>
                </c:pt>
                <c:pt idx="6">
                  <c:v>1 мар. 2011</c:v>
                </c:pt>
                <c:pt idx="7">
                  <c:v>1 апр. 2011</c:v>
                </c:pt>
                <c:pt idx="8">
                  <c:v>1 мая 
2011</c:v>
                </c:pt>
                <c:pt idx="9">
                  <c:v>1 июн. 2011</c:v>
                </c:pt>
                <c:pt idx="10">
                  <c:v>1 июл. 2011</c:v>
                </c:pt>
                <c:pt idx="11">
                  <c:v>1 авг. 2011</c:v>
                </c:pt>
                <c:pt idx="12">
                  <c:v>1 сен. 2011</c:v>
                </c:pt>
                <c:pt idx="13">
                  <c:v>1 окт. 2011</c:v>
                </c:pt>
              </c:strCache>
            </c:strRef>
          </c:cat>
          <c:val>
            <c:numRef>
              <c:f>Лист1!$B$40:$O$40</c:f>
              <c:numCache>
                <c:formatCode>0.0</c:formatCode>
                <c:ptCount val="14"/>
                <c:pt idx="0">
                  <c:v>9.5</c:v>
                </c:pt>
                <c:pt idx="1">
                  <c:v>23.1</c:v>
                </c:pt>
                <c:pt idx="2">
                  <c:v>25.5</c:v>
                </c:pt>
                <c:pt idx="3">
                  <c:v>8.4</c:v>
                </c:pt>
                <c:pt idx="4">
                  <c:v>11.96</c:v>
                </c:pt>
                <c:pt idx="5">
                  <c:v>16.5</c:v>
                </c:pt>
                <c:pt idx="6">
                  <c:v>17</c:v>
                </c:pt>
                <c:pt idx="7">
                  <c:v>29.2</c:v>
                </c:pt>
                <c:pt idx="8">
                  <c:v>15.48</c:v>
                </c:pt>
                <c:pt idx="9">
                  <c:v>104.6</c:v>
                </c:pt>
                <c:pt idx="10">
                  <c:v>90.2</c:v>
                </c:pt>
                <c:pt idx="11">
                  <c:v>69.3</c:v>
                </c:pt>
                <c:pt idx="12">
                  <c:v>76</c:v>
                </c:pt>
                <c:pt idx="13">
                  <c:v>63.5</c:v>
                </c:pt>
              </c:numCache>
            </c:numRef>
          </c:val>
        </c:ser>
        <c:dLbls>
          <c:showVal val="1"/>
        </c:dLbls>
        <c:gapWidth val="24"/>
        <c:axId val="127511168"/>
        <c:axId val="127279488"/>
      </c:barChart>
      <c:lineChart>
        <c:grouping val="standard"/>
        <c:ser>
          <c:idx val="0"/>
          <c:order val="1"/>
          <c:tx>
            <c:strRef>
              <c:f>Лист1!$A$41</c:f>
              <c:strCache>
                <c:ptCount val="1"/>
                <c:pt idx="0">
                  <c:v>численность работников перед которыми имеется задолженность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triangle"/>
            <c:size val="9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4109675897254416E-2"/>
                  <c:y val="-4.7059705772072247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4.6474147632923887E-2"/>
                  <c:y val="-4.4693316009612814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3129798198831663E-2"/>
                  <c:y val="-3.3202228546007892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3.1957864914863202E-2"/>
                  <c:y val="-4.9964870036789413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3.5907443676714959E-2"/>
                  <c:y val="-3.5858748125813765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1717645223203814E-2"/>
                  <c:y val="-4.2322484824092003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4.1791559762894746E-2"/>
                  <c:y val="-4.7367902541594113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4.3892372515065232E-2"/>
                  <c:y val="-4.2618765167082066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3564509469314075E-2"/>
                  <c:y val="-4.8914796010837085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4.0865494039113714E-2"/>
                  <c:y val="-4.028588846442635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3.5189511426978612E-2"/>
                  <c:y val="-7.1876526800372723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-3.697285479202405E-2"/>
                  <c:y val="-3.7426892312516356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3.8821497531625254E-2"/>
                  <c:y val="-4.1169581543767951E-2"/>
                </c:manualLayout>
              </c:layout>
              <c:dLblPos val="r"/>
              <c:showVal val="1"/>
            </c:dLbl>
            <c:dLbl>
              <c:idx val="13"/>
              <c:layout>
                <c:manualLayout>
                  <c:x val="-3.3265365177226842E-2"/>
                  <c:y val="-6.4516021351687047E-2"/>
                </c:manualLayout>
              </c:layout>
              <c:dLblPos val="r"/>
              <c:showVal val="1"/>
            </c:dLbl>
            <c:dLbl>
              <c:idx val="14"/>
              <c:layout>
                <c:manualLayout>
                  <c:x val="-3.2377741449996292E-2"/>
                  <c:y val="-4.8552754435107322E-2"/>
                </c:manualLayout>
              </c:layout>
              <c:dLblPos val="r"/>
              <c:showVal val="1"/>
            </c:dLbl>
            <c:dLbl>
              <c:idx val="15"/>
              <c:layout>
                <c:manualLayout>
                  <c:x val="-3.5261709212787894E-2"/>
                  <c:y val="-5.9757236227829677E-2"/>
                </c:manualLayout>
              </c:layout>
              <c:dLblPos val="r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Лист1!$B$39:$O$39</c:f>
              <c:strCache>
                <c:ptCount val="14"/>
                <c:pt idx="0">
                  <c:v>1 сен. 2010</c:v>
                </c:pt>
                <c:pt idx="1">
                  <c:v>1 окт. 2010</c:v>
                </c:pt>
                <c:pt idx="2">
                  <c:v>1 нояб. 2010</c:v>
                </c:pt>
                <c:pt idx="3">
                  <c:v>1 дек. 2010</c:v>
                </c:pt>
                <c:pt idx="4">
                  <c:v>1 янв. 2011</c:v>
                </c:pt>
                <c:pt idx="5">
                  <c:v>1 фев. 2011</c:v>
                </c:pt>
                <c:pt idx="6">
                  <c:v>1 мар. 2011</c:v>
                </c:pt>
                <c:pt idx="7">
                  <c:v>1 апр. 2011</c:v>
                </c:pt>
                <c:pt idx="8">
                  <c:v>1 мая 
2011</c:v>
                </c:pt>
                <c:pt idx="9">
                  <c:v>1 июн. 2011</c:v>
                </c:pt>
                <c:pt idx="10">
                  <c:v>1 июл. 2011</c:v>
                </c:pt>
                <c:pt idx="11">
                  <c:v>1 авг. 2011</c:v>
                </c:pt>
                <c:pt idx="12">
                  <c:v>1 сен. 2011</c:v>
                </c:pt>
                <c:pt idx="13">
                  <c:v>1 окт. 2011</c:v>
                </c:pt>
              </c:strCache>
            </c:strRef>
          </c:cat>
          <c:val>
            <c:numRef>
              <c:f>Лист1!$B$41:$O$41</c:f>
              <c:numCache>
                <c:formatCode>0</c:formatCode>
                <c:ptCount val="14"/>
                <c:pt idx="0">
                  <c:v>525</c:v>
                </c:pt>
                <c:pt idx="1">
                  <c:v>1047</c:v>
                </c:pt>
                <c:pt idx="2">
                  <c:v>2371</c:v>
                </c:pt>
                <c:pt idx="3">
                  <c:v>614</c:v>
                </c:pt>
                <c:pt idx="4">
                  <c:v>852</c:v>
                </c:pt>
                <c:pt idx="5">
                  <c:v>1190</c:v>
                </c:pt>
                <c:pt idx="6">
                  <c:v>1209</c:v>
                </c:pt>
                <c:pt idx="7">
                  <c:v>1604</c:v>
                </c:pt>
                <c:pt idx="8">
                  <c:v>921</c:v>
                </c:pt>
                <c:pt idx="9">
                  <c:v>3644</c:v>
                </c:pt>
                <c:pt idx="10">
                  <c:v>1975</c:v>
                </c:pt>
                <c:pt idx="11">
                  <c:v>2894</c:v>
                </c:pt>
                <c:pt idx="12">
                  <c:v>3063</c:v>
                </c:pt>
                <c:pt idx="13">
                  <c:v>1187</c:v>
                </c:pt>
              </c:numCache>
            </c:numRef>
          </c:val>
        </c:ser>
        <c:dLbls>
          <c:showVal val="1"/>
        </c:dLbls>
        <c:marker val="1"/>
        <c:axId val="127281024"/>
        <c:axId val="127282560"/>
      </c:lineChart>
      <c:catAx>
        <c:axId val="127511168"/>
        <c:scaling>
          <c:orientation val="minMax"/>
        </c:scaling>
        <c:axPos val="b"/>
        <c:numFmt formatCode="dd/mmm" sourceLinked="1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ru-RU"/>
          </a:p>
        </c:txPr>
        <c:crossAx val="127279488"/>
        <c:crosses val="autoZero"/>
        <c:lblAlgn val="ctr"/>
        <c:lblOffset val="100"/>
        <c:tickLblSkip val="1"/>
        <c:tickMarkSkip val="1"/>
      </c:catAx>
      <c:valAx>
        <c:axId val="127279488"/>
        <c:scaling>
          <c:orientation val="minMax"/>
          <c:max val="120"/>
        </c:scaling>
        <c:axPos val="l"/>
        <c:numFmt formatCode="0" sourceLinked="0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7511168"/>
        <c:crosses val="autoZero"/>
        <c:crossBetween val="between"/>
        <c:majorUnit val="10"/>
      </c:valAx>
      <c:catAx>
        <c:axId val="127281024"/>
        <c:scaling>
          <c:orientation val="minMax"/>
        </c:scaling>
        <c:delete val="1"/>
        <c:axPos val="b"/>
        <c:numFmt formatCode="dd/mmm" sourceLinked="1"/>
        <c:tickLblPos val="none"/>
        <c:crossAx val="127282560"/>
        <c:crosses val="autoZero"/>
        <c:lblAlgn val="ctr"/>
        <c:lblOffset val="100"/>
      </c:catAx>
      <c:valAx>
        <c:axId val="127282560"/>
        <c:scaling>
          <c:orientation val="minMax"/>
          <c:max val="3650"/>
          <c:min val="0"/>
        </c:scaling>
        <c:axPos val="r"/>
        <c:numFmt formatCode="0" sourceLinked="0"/>
        <c:majorTickMark val="cross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chemeClr val="tx1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27281024"/>
        <c:crosses val="max"/>
        <c:crossBetween val="between"/>
        <c:majorUnit val="1000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2.1691262102173227E-3"/>
          <c:y val="0.83615224567517465"/>
          <c:w val="0.99783087378978275"/>
          <c:h val="0.14234544211385344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ввода в действие общей площади жилых домов</a:t>
            </a:r>
          </a:p>
        </c:rich>
      </c:tx>
      <c:layout>
        <c:manualLayout>
          <c:xMode val="edge"/>
          <c:yMode val="edge"/>
          <c:x val="0.16545931758530444"/>
          <c:y val="0"/>
        </c:manualLayout>
      </c:layout>
    </c:title>
    <c:plotArea>
      <c:layout>
        <c:manualLayout>
          <c:layoutTarget val="inner"/>
          <c:xMode val="edge"/>
          <c:yMode val="edge"/>
          <c:x val="0.13836155011992821"/>
          <c:y val="0.28121895895113574"/>
          <c:w val="0.84548926576485628"/>
          <c:h val="0.55813526365422661"/>
        </c:manualLayout>
      </c:layout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tx>
          <c:spPr>
            <a:gradFill flip="none" rotWithShape="1">
              <a:gsLst>
                <a:gs pos="0">
                  <a:srgbClr val="4F81BD">
                    <a:shade val="30000"/>
                    <a:satMod val="115000"/>
                  </a:srgbClr>
                </a:gs>
                <a:gs pos="50000">
                  <a:srgbClr val="4F81BD">
                    <a:shade val="67500"/>
                    <a:satMod val="115000"/>
                  </a:srgbClr>
                </a:gs>
                <a:gs pos="100000">
                  <a:srgbClr val="4F81BD">
                    <a:shade val="100000"/>
                    <a:satMod val="115000"/>
                  </a:srgbClr>
                </a:gs>
              </a:gsLst>
              <a:path path="circle">
                <a:fillToRect l="100000" b="100000"/>
              </a:path>
              <a:tileRect t="-100000" r="-100000"/>
            </a:gradFill>
            <a:ln>
              <a:solidFill>
                <a:sysClr val="windowText" lastClr="000000"/>
              </a:solidFill>
            </a:ln>
          </c:spPr>
          <c:dLbls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Лист1!$B$1:$C$1</c:f>
              <c:strCache>
                <c:ptCount val="2"/>
                <c:pt idx="0">
                  <c:v>3 кв.2010</c:v>
                </c:pt>
                <c:pt idx="1">
                  <c:v>3 кв.2011</c:v>
                </c:pt>
              </c:strCache>
            </c:strRef>
          </c:cat>
          <c:val>
            <c:numRef>
              <c:f>Лист1!$B$2:$C$2</c:f>
              <c:numCache>
                <c:formatCode>General</c:formatCode>
                <c:ptCount val="2"/>
                <c:pt idx="0" formatCode="0.0">
                  <c:v>428.2</c:v>
                </c:pt>
                <c:pt idx="1">
                  <c:v>412.3</c:v>
                </c:pt>
              </c:numCache>
            </c:numRef>
          </c:val>
        </c:ser>
        <c:dLbls>
          <c:showVal val="1"/>
        </c:dLbls>
        <c:axId val="127294848"/>
        <c:axId val="127407232"/>
      </c:barChart>
      <c:catAx>
        <c:axId val="127294848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27407232"/>
        <c:crosses val="autoZero"/>
        <c:auto val="1"/>
        <c:lblAlgn val="ctr"/>
        <c:lblOffset val="100"/>
      </c:catAx>
      <c:valAx>
        <c:axId val="127407232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/>
                  <a:t>тыс.кв.м</a:t>
                </a:r>
              </a:p>
            </c:rich>
          </c:tx>
          <c:layout>
            <c:manualLayout>
              <c:xMode val="edge"/>
              <c:yMode val="edge"/>
              <c:x val="2.5641025641026011E-2"/>
              <c:y val="0.18536009921836691"/>
            </c:manualLayout>
          </c:layout>
        </c:title>
        <c:numFmt formatCode="0" sourceLinked="0"/>
        <c:tickLblPos val="nextTo"/>
        <c:crossAx val="127294848"/>
        <c:crosses val="autoZero"/>
        <c:crossBetween val="between"/>
      </c:valAx>
    </c:plotArea>
    <c:plotVisOnly val="1"/>
  </c:chart>
  <c:spPr>
    <a:ln w="9525"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>
                <a:solidFill>
                  <a:sysClr val="windowText" lastClr="000000"/>
                </a:solidFill>
              </a:rPr>
              <a:t>Динамика оборота розничной торговли и платных услуг</a:t>
            </a:r>
          </a:p>
        </c:rich>
      </c:tx>
      <c:layout>
        <c:manualLayout>
          <c:xMode val="edge"/>
          <c:yMode val="edge"/>
          <c:x val="0.22622962511398387"/>
          <c:y val="3.3149171270718231E-2"/>
        </c:manualLayout>
      </c:layout>
    </c:title>
    <c:plotArea>
      <c:layout>
        <c:manualLayout>
          <c:layoutTarget val="inner"/>
          <c:xMode val="edge"/>
          <c:yMode val="edge"/>
          <c:x val="0.12884524078968196"/>
          <c:y val="0.27246188777165536"/>
          <c:w val="0.82360775251052343"/>
          <c:h val="0.45030379960208688"/>
        </c:manualLayout>
      </c:layout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оборот розничной торговли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shade val="30000"/>
                    <a:satMod val="115000"/>
                  </a:schemeClr>
                </a:gs>
                <a:gs pos="50000">
                  <a:schemeClr val="accent1">
                    <a:shade val="67500"/>
                    <a:satMod val="115000"/>
                  </a:schemeClr>
                </a:gs>
                <a:gs pos="100000">
                  <a:schemeClr val="accent1">
                    <a:shade val="100000"/>
                    <a:satMod val="115000"/>
                  </a:schemeClr>
                </a:gs>
              </a:gsLst>
              <a:path path="circle">
                <a:fillToRect l="100000" b="100000"/>
              </a:path>
              <a:tileRect t="-100000" r="-100000"/>
            </a:gradFill>
            <a:ln w="9525">
              <a:solidFill>
                <a:sysClr val="windowText" lastClr="000000"/>
              </a:solidFill>
            </a:ln>
          </c:spPr>
          <c:dLbls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Лист1!$B$1:$C$1</c:f>
              <c:strCache>
                <c:ptCount val="2"/>
                <c:pt idx="0">
                  <c:v>3 кв.2010</c:v>
                </c:pt>
                <c:pt idx="1">
                  <c:v>3 кв.2011</c:v>
                </c:pt>
              </c:strCache>
            </c:strRef>
          </c:cat>
          <c:val>
            <c:numRef>
              <c:f>Лист1!$B$2:$C$2</c:f>
              <c:numCache>
                <c:formatCode>0.0</c:formatCode>
                <c:ptCount val="2"/>
                <c:pt idx="0" formatCode="General">
                  <c:v>126.5</c:v>
                </c:pt>
                <c:pt idx="1">
                  <c:v>148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платные услуги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spPr>
              <a:gradFill flip="none" rotWithShape="1">
                <a:gsLst>
                  <a:gs pos="0">
                    <a:srgbClr val="C0504D">
                      <a:shade val="30000"/>
                      <a:satMod val="115000"/>
                    </a:srgbClr>
                  </a:gs>
                  <a:gs pos="50000">
                    <a:srgbClr val="C0504D">
                      <a:shade val="67500"/>
                      <a:satMod val="115000"/>
                    </a:srgbClr>
                  </a:gs>
                  <a:gs pos="100000">
                    <a:srgbClr val="C0504D">
                      <a:shade val="100000"/>
                      <a:satMod val="115000"/>
                    </a:srgbClr>
                  </a:gs>
                </a:gsLst>
                <a:path path="circle">
                  <a:fillToRect l="100000" b="100000"/>
                </a:path>
                <a:tileRect t="-100000" r="-100000"/>
              </a:gradFill>
              <a:ln>
                <a:solidFill>
                  <a:sysClr val="windowText" lastClr="000000"/>
                </a:solidFill>
              </a:ln>
            </c:spPr>
          </c:dPt>
          <c:dPt>
            <c:idx val="1"/>
            <c:spPr>
              <a:gradFill flip="none" rotWithShape="1">
                <a:gsLst>
                  <a:gs pos="0">
                    <a:srgbClr val="C0504D">
                      <a:shade val="30000"/>
                      <a:satMod val="115000"/>
                    </a:srgbClr>
                  </a:gs>
                  <a:gs pos="50000">
                    <a:srgbClr val="C0504D">
                      <a:shade val="67500"/>
                      <a:satMod val="115000"/>
                    </a:srgbClr>
                  </a:gs>
                  <a:gs pos="100000">
                    <a:srgbClr val="C0504D">
                      <a:shade val="100000"/>
                      <a:satMod val="115000"/>
                    </a:srgbClr>
                  </a:gs>
                </a:gsLst>
                <a:path path="circle">
                  <a:fillToRect l="100000" b="100000"/>
                </a:path>
                <a:tileRect t="-100000" r="-100000"/>
              </a:gradFill>
              <a:ln>
                <a:solidFill>
                  <a:sysClr val="windowText" lastClr="000000"/>
                </a:solidFill>
              </a:ln>
            </c:spPr>
          </c:dPt>
          <c:dLbls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Лист1!$B$1:$C$1</c:f>
              <c:strCache>
                <c:ptCount val="2"/>
                <c:pt idx="0">
                  <c:v>3 кв.2010</c:v>
                </c:pt>
                <c:pt idx="1">
                  <c:v>3 кв.2011</c:v>
                </c:pt>
              </c:strCache>
            </c:strRef>
          </c:cat>
          <c:val>
            <c:numRef>
              <c:f>Лист1!$B$3:$C$3</c:f>
              <c:numCache>
                <c:formatCode>General</c:formatCode>
                <c:ptCount val="2"/>
                <c:pt idx="0">
                  <c:v>26.3</c:v>
                </c:pt>
                <c:pt idx="1">
                  <c:v>31.1</c:v>
                </c:pt>
              </c:numCache>
            </c:numRef>
          </c:val>
        </c:ser>
        <c:dLbls>
          <c:showVal val="1"/>
        </c:dLbls>
        <c:axId val="127425536"/>
        <c:axId val="127435520"/>
      </c:barChart>
      <c:catAx>
        <c:axId val="127425536"/>
        <c:scaling>
          <c:orientation val="minMax"/>
        </c:scaling>
        <c:axPos val="b"/>
        <c:tickLblPos val="nextTo"/>
        <c:crossAx val="127435520"/>
        <c:crosses val="autoZero"/>
        <c:auto val="1"/>
        <c:lblAlgn val="ctr"/>
        <c:lblOffset val="100"/>
      </c:catAx>
      <c:valAx>
        <c:axId val="127435520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 b="0"/>
                </a:pPr>
                <a:r>
                  <a:rPr lang="ru-RU" b="0"/>
                  <a:t>млрд.руб.</a:t>
                </a:r>
              </a:p>
            </c:rich>
          </c:tx>
          <c:layout>
            <c:manualLayout>
              <c:xMode val="edge"/>
              <c:yMode val="edge"/>
              <c:x val="0"/>
              <c:y val="0.15202290437016824"/>
            </c:manualLayout>
          </c:layout>
        </c:title>
        <c:numFmt formatCode="General" sourceLinked="1"/>
        <c:tickLblPos val="nextTo"/>
        <c:crossAx val="127425536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0.01942</cdr:x>
      <cdr:y>0.0836</cdr:y>
    </cdr:from>
    <cdr:to>
      <cdr:x>0.18529</cdr:x>
      <cdr:y>0.16135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3687" y="284287"/>
          <a:ext cx="714797" cy="2643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100" b="0">
              <a:latin typeface="Times New Roman" pitchFamily="18" charset="0"/>
              <a:cs typeface="Times New Roman" pitchFamily="18" charset="0"/>
            </a:rPr>
            <a:t>млн.руб.</a:t>
          </a:r>
        </a:p>
      </cdr:txBody>
    </cdr:sp>
  </cdr:relSizeAnchor>
  <cdr:relSizeAnchor xmlns:cdr="http://schemas.openxmlformats.org/drawingml/2006/chartDrawing">
    <cdr:from>
      <cdr:x>0.89433</cdr:x>
      <cdr:y>0.07001</cdr:y>
    </cdr:from>
    <cdr:to>
      <cdr:x>1</cdr:x>
      <cdr:y>0.15655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088877" y="208723"/>
          <a:ext cx="483123" cy="258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100" b="0">
              <a:latin typeface="Times New Roman" pitchFamily="18" charset="0"/>
              <a:cs typeface="Times New Roman" pitchFamily="18" charset="0"/>
            </a:rPr>
            <a:t>чел.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126E7-22D7-496D-8EE7-3B16589B646C}"/>
</file>

<file path=customXml/itemProps2.xml><?xml version="1.0" encoding="utf-8"?>
<ds:datastoreItem xmlns:ds="http://schemas.openxmlformats.org/officeDocument/2006/customXml" ds:itemID="{A150EE55-39B0-477B-9E71-C817406A423F}"/>
</file>

<file path=customXml/itemProps3.xml><?xml version="1.0" encoding="utf-8"?>
<ds:datastoreItem xmlns:ds="http://schemas.openxmlformats.org/officeDocument/2006/customXml" ds:itemID="{0DD207FE-E057-48D0-ADF0-DBE490D924DE}"/>
</file>

<file path=customXml/itemProps4.xml><?xml version="1.0" encoding="utf-8"?>
<ds:datastoreItem xmlns:ds="http://schemas.openxmlformats.org/officeDocument/2006/customXml" ds:itemID="{79E9179C-CA37-402F-B70D-EAEA8DD7E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rachilina</dc:creator>
  <cp:keywords/>
  <dc:description/>
  <cp:lastModifiedBy>Baranova</cp:lastModifiedBy>
  <cp:revision>2</cp:revision>
  <cp:lastPrinted>2011-11-07T08:35:00Z</cp:lastPrinted>
  <dcterms:created xsi:type="dcterms:W3CDTF">2011-11-08T00:58:00Z</dcterms:created>
  <dcterms:modified xsi:type="dcterms:W3CDTF">2011-11-08T00:58:00Z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