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BC" w:rsidRPr="009918DD" w:rsidRDefault="00903FBC" w:rsidP="00903FBC">
      <w:pPr>
        <w:pStyle w:val="a3"/>
        <w:spacing w:before="0" w:beforeAutospacing="0" w:after="0" w:afterAutospacing="0"/>
        <w:ind w:firstLine="709"/>
        <w:jc w:val="both"/>
        <w:rPr>
          <w:b/>
          <w:sz w:val="28"/>
          <w:szCs w:val="28"/>
        </w:rPr>
      </w:pPr>
      <w:r w:rsidRPr="009918DD">
        <w:rPr>
          <w:b/>
          <w:sz w:val="28"/>
          <w:szCs w:val="28"/>
          <w:highlight w:val="yellow"/>
        </w:rPr>
        <w:t>Регистрация негосударственной лотереи.</w:t>
      </w:r>
    </w:p>
    <w:p w:rsidR="00903FBC" w:rsidRPr="009918DD" w:rsidRDefault="00903FBC" w:rsidP="00903FBC">
      <w:pPr>
        <w:autoSpaceDE w:val="0"/>
        <w:autoSpaceDN w:val="0"/>
        <w:adjustRightInd w:val="0"/>
        <w:ind w:firstLine="709"/>
        <w:jc w:val="both"/>
        <w:outlineLvl w:val="0"/>
        <w:rPr>
          <w:i/>
          <w:sz w:val="28"/>
          <w:szCs w:val="28"/>
        </w:rPr>
      </w:pPr>
    </w:p>
    <w:p w:rsidR="00903FBC" w:rsidRPr="009918DD" w:rsidRDefault="00903FBC" w:rsidP="00903FBC">
      <w:pPr>
        <w:autoSpaceDE w:val="0"/>
        <w:autoSpaceDN w:val="0"/>
        <w:adjustRightInd w:val="0"/>
        <w:ind w:firstLine="709"/>
        <w:jc w:val="both"/>
        <w:outlineLvl w:val="0"/>
        <w:rPr>
          <w:rFonts w:eastAsiaTheme="minorHAnsi"/>
          <w:i/>
          <w:sz w:val="28"/>
          <w:szCs w:val="28"/>
          <w:lang w:eastAsia="en-US"/>
        </w:rPr>
      </w:pPr>
      <w:r w:rsidRPr="009918DD">
        <w:rPr>
          <w:i/>
          <w:sz w:val="28"/>
          <w:szCs w:val="28"/>
        </w:rPr>
        <w:t>Статья 6. Разрешение на проведение лотереи</w:t>
      </w:r>
    </w:p>
    <w:p w:rsidR="00903FBC" w:rsidRPr="009918DD" w:rsidRDefault="00903FBC" w:rsidP="00903FBC">
      <w:pPr>
        <w:autoSpaceDE w:val="0"/>
        <w:autoSpaceDN w:val="0"/>
        <w:adjustRightInd w:val="0"/>
        <w:ind w:firstLine="709"/>
        <w:jc w:val="both"/>
        <w:rPr>
          <w:rFonts w:eastAsiaTheme="minorHAnsi"/>
          <w:i/>
          <w:sz w:val="28"/>
          <w:szCs w:val="28"/>
          <w:lang w:eastAsia="en-US"/>
        </w:rPr>
      </w:pP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1. Разрешение на проведение лотереи выдается заявителю федеральным органом исполнительной власти, уполномоченным Правительством Российской Федерации, уполномоченным органом исполнительной власти субъекта Российской Федерации или уполномоченным органом местного самоуправления на срок не более чем пять лет на основании заявления о предоставлении указанного разрешения.</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Рассмотрение вопроса о выдаче заявителю указанного разрешения осуществляется федеральным органом исполнительной власти, уполномоченным Правительством Российской Федерации, уполномоченным органом исполнительной власти субъекта Российской Федерации или уполномоченным органом местного самоуправления в течение двух месяцев со дня подачи заявления о предоставлении указанного разрешения.</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2. В случае</w:t>
      </w:r>
      <w:proofErr w:type="gramStart"/>
      <w:r w:rsidRPr="009918DD">
        <w:rPr>
          <w:i/>
          <w:sz w:val="28"/>
          <w:szCs w:val="28"/>
        </w:rPr>
        <w:t>,</w:t>
      </w:r>
      <w:proofErr w:type="gramEnd"/>
      <w:r w:rsidRPr="009918DD">
        <w:rPr>
          <w:i/>
          <w:sz w:val="28"/>
          <w:szCs w:val="28"/>
        </w:rPr>
        <w:t xml:space="preserve"> если заявитель не представит все предусмотренные настоящим Федеральным законом документы,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в течение месяца со дня подачи заявителем заявления о предоставлении разрешения на проведение лотереи обязан запросить у него недостающие документы, которые должны быть представлены им не позднее чем через десять дней со дня получения такого запроса.</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3.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не позднее чем через два месяца со дня подачи заявления о предоставлении разрешения на проведение лотереи обязан выдать заявителю соответствующее разрешение или мотивированный отказ в выдаче такого разрешения. При этом указанные органы обязаны не позднее чем через три дня со дня принятия соответствующего решения направить заявителю уведомление о выдаче разрешения на проведение лотереи или об отказе в выдаче такого разрешения.</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4.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вправе принять решение об отказе в выдаче разрешения на проведение лотереи по одному из следующих оснований:</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1) несоответствие документов, представленных заявителем для получения разрешения на проведение лотереи, требованиям настоящего Федерального закона;</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lastRenderedPageBreak/>
        <w:t>2) представление заявителем недостоверных сведений;</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3) наличие у заявителя задолженности по уплате налогов и сборов;</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4) возбуждение в отношении заявителя арбитражным судом дела о несостоятельности (банкротстве).</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5. Заявитель вправе обжаловать решение федерального органа исполнительной власти, уполномоченного Правительством Российской Федерации, уполномоченного органа исполнительной власти субъекта Российской Федерации или уполномоченного органа местного самоуправления в порядке, установленном законодательством Российской Федерации.</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6. Заявление о предоставлении разрешения на проведение лотереи составляется в произвольной форме, но должно содержать указание на срок проведения такой лотереи и вид лотереи. К заявлению о предоставлении разрешения на проведение конкретной лотереи должны прилагаться следующие документы:</w:t>
      </w:r>
    </w:p>
    <w:p w:rsidR="00E02C00" w:rsidRPr="00E02C00" w:rsidRDefault="00E02C00" w:rsidP="00E02C00">
      <w:pPr>
        <w:autoSpaceDE w:val="0"/>
        <w:autoSpaceDN w:val="0"/>
        <w:adjustRightInd w:val="0"/>
        <w:ind w:firstLine="709"/>
        <w:jc w:val="both"/>
        <w:rPr>
          <w:i/>
          <w:sz w:val="28"/>
          <w:szCs w:val="28"/>
        </w:rPr>
      </w:pPr>
      <w:r w:rsidRPr="00E02C00">
        <w:rPr>
          <w:i/>
          <w:sz w:val="28"/>
          <w:szCs w:val="28"/>
        </w:rPr>
        <w:t>1) условия лотереи;</w:t>
      </w:r>
    </w:p>
    <w:p w:rsidR="00E02C00" w:rsidRPr="00E02C00" w:rsidRDefault="00E02C00" w:rsidP="00E02C00">
      <w:pPr>
        <w:autoSpaceDE w:val="0"/>
        <w:autoSpaceDN w:val="0"/>
        <w:adjustRightInd w:val="0"/>
        <w:ind w:firstLine="709"/>
        <w:jc w:val="both"/>
        <w:rPr>
          <w:i/>
          <w:sz w:val="28"/>
          <w:szCs w:val="28"/>
        </w:rPr>
      </w:pPr>
      <w:r w:rsidRPr="00E02C00">
        <w:rPr>
          <w:i/>
          <w:sz w:val="28"/>
          <w:szCs w:val="28"/>
        </w:rPr>
        <w:t>2) нормативы распределения выручки от проведения лотереи (в процентах);</w:t>
      </w:r>
    </w:p>
    <w:p w:rsidR="00E02C00" w:rsidRPr="00E02C00" w:rsidRDefault="00E02C00" w:rsidP="00E02C00">
      <w:pPr>
        <w:autoSpaceDE w:val="0"/>
        <w:autoSpaceDN w:val="0"/>
        <w:adjustRightInd w:val="0"/>
        <w:ind w:firstLine="709"/>
        <w:jc w:val="both"/>
        <w:rPr>
          <w:i/>
          <w:sz w:val="28"/>
          <w:szCs w:val="28"/>
        </w:rPr>
      </w:pPr>
      <w:r w:rsidRPr="00E02C00">
        <w:rPr>
          <w:i/>
          <w:sz w:val="28"/>
          <w:szCs w:val="28"/>
        </w:rPr>
        <w:t>3) макет лотерейного билета (квитанции, иного предусмотренного условиями лотереи документа) с описанием обязательных требований к нему и при необходимости способов защиты лотерейного билета от подделки, а также описанием нанесенных на него скрытых надписей, рисунков или знаков;</w:t>
      </w:r>
    </w:p>
    <w:p w:rsidR="00E02C00" w:rsidRPr="00E02C00" w:rsidRDefault="00E02C00" w:rsidP="00E02C00">
      <w:pPr>
        <w:autoSpaceDE w:val="0"/>
        <w:autoSpaceDN w:val="0"/>
        <w:adjustRightInd w:val="0"/>
        <w:ind w:firstLine="709"/>
        <w:jc w:val="both"/>
        <w:rPr>
          <w:i/>
          <w:sz w:val="28"/>
          <w:szCs w:val="28"/>
        </w:rPr>
      </w:pPr>
      <w:r w:rsidRPr="00E02C00">
        <w:rPr>
          <w:i/>
          <w:sz w:val="28"/>
          <w:szCs w:val="28"/>
        </w:rPr>
        <w:t>4) правила идентификации лотерейного билета при выплате, передаче или предоставлении выигрыша;</w:t>
      </w:r>
    </w:p>
    <w:p w:rsidR="00E02C00" w:rsidRPr="00E02C00" w:rsidRDefault="00E02C00" w:rsidP="00E02C00">
      <w:pPr>
        <w:autoSpaceDE w:val="0"/>
        <w:autoSpaceDN w:val="0"/>
        <w:adjustRightInd w:val="0"/>
        <w:ind w:firstLine="709"/>
        <w:jc w:val="both"/>
        <w:rPr>
          <w:i/>
          <w:sz w:val="28"/>
          <w:szCs w:val="28"/>
        </w:rPr>
      </w:pPr>
      <w:r w:rsidRPr="00E02C00">
        <w:rPr>
          <w:i/>
          <w:sz w:val="28"/>
          <w:szCs w:val="28"/>
        </w:rPr>
        <w:t>5) технико-экономическое обоснование проведения лотереи на весь период ее проведения с указанием источников финансирования расходов на организацию лотереи, проведение лотереи и с расчетом предполагаемой выручки от проведения лотереи;</w:t>
      </w:r>
    </w:p>
    <w:p w:rsidR="00E02C00" w:rsidRPr="00E02C00" w:rsidRDefault="00E02C00" w:rsidP="00E02C00">
      <w:pPr>
        <w:autoSpaceDE w:val="0"/>
        <w:autoSpaceDN w:val="0"/>
        <w:adjustRightInd w:val="0"/>
        <w:ind w:firstLine="709"/>
        <w:jc w:val="both"/>
        <w:rPr>
          <w:i/>
          <w:sz w:val="28"/>
          <w:szCs w:val="28"/>
        </w:rPr>
      </w:pPr>
      <w:r w:rsidRPr="00E02C00">
        <w:rPr>
          <w:i/>
          <w:sz w:val="28"/>
          <w:szCs w:val="28"/>
        </w:rPr>
        <w:t>6) описание и технические характеристики лотерейного оборудования;</w:t>
      </w:r>
    </w:p>
    <w:p w:rsidR="00E02C00" w:rsidRPr="00E02C00" w:rsidRDefault="00E02C00" w:rsidP="00E02C00">
      <w:pPr>
        <w:autoSpaceDE w:val="0"/>
        <w:autoSpaceDN w:val="0"/>
        <w:adjustRightInd w:val="0"/>
        <w:ind w:firstLine="709"/>
        <w:jc w:val="both"/>
        <w:rPr>
          <w:i/>
          <w:sz w:val="28"/>
          <w:szCs w:val="28"/>
        </w:rPr>
      </w:pPr>
      <w:r w:rsidRPr="00E02C00">
        <w:rPr>
          <w:i/>
          <w:sz w:val="28"/>
          <w:szCs w:val="28"/>
        </w:rPr>
        <w:t>7) засвидетельствованные в установленном порядке копии учредительных документов Заявителя;</w:t>
      </w:r>
    </w:p>
    <w:p w:rsidR="00E02C00" w:rsidRPr="00E02C00" w:rsidRDefault="00E02C00" w:rsidP="00E02C00">
      <w:pPr>
        <w:autoSpaceDE w:val="0"/>
        <w:autoSpaceDN w:val="0"/>
        <w:adjustRightInd w:val="0"/>
        <w:ind w:firstLine="709"/>
        <w:jc w:val="both"/>
        <w:rPr>
          <w:i/>
          <w:sz w:val="28"/>
          <w:szCs w:val="28"/>
        </w:rPr>
      </w:pPr>
      <w:r w:rsidRPr="00E02C00">
        <w:rPr>
          <w:i/>
          <w:sz w:val="28"/>
          <w:szCs w:val="28"/>
        </w:rPr>
        <w:t>8) порядок учета распространенных и нераспространенных лотерейных билетов;</w:t>
      </w:r>
    </w:p>
    <w:p w:rsidR="00E02C00" w:rsidRPr="00E02C00" w:rsidRDefault="00E02C00" w:rsidP="00E02C00">
      <w:pPr>
        <w:autoSpaceDE w:val="0"/>
        <w:autoSpaceDN w:val="0"/>
        <w:adjustRightInd w:val="0"/>
        <w:ind w:firstLine="709"/>
        <w:jc w:val="both"/>
        <w:rPr>
          <w:i/>
          <w:sz w:val="28"/>
          <w:szCs w:val="28"/>
        </w:rPr>
      </w:pPr>
      <w:r w:rsidRPr="00E02C00">
        <w:rPr>
          <w:i/>
          <w:sz w:val="28"/>
          <w:szCs w:val="28"/>
        </w:rPr>
        <w:t>9) порядок возврата, хранения, уничтожения или использования в других тиражах нераспространенных лотерейных билетов;</w:t>
      </w:r>
    </w:p>
    <w:p w:rsidR="00E02C00" w:rsidRPr="00E02C00" w:rsidRDefault="00E02C00" w:rsidP="00E02C00">
      <w:pPr>
        <w:autoSpaceDE w:val="0"/>
        <w:autoSpaceDN w:val="0"/>
        <w:adjustRightInd w:val="0"/>
        <w:ind w:firstLine="709"/>
        <w:jc w:val="both"/>
        <w:rPr>
          <w:i/>
          <w:sz w:val="28"/>
          <w:szCs w:val="28"/>
        </w:rPr>
      </w:pPr>
      <w:r w:rsidRPr="00E02C00">
        <w:rPr>
          <w:i/>
          <w:sz w:val="28"/>
          <w:szCs w:val="28"/>
        </w:rPr>
        <w:t>10) порядок изъятия нераспространенных лотерейных билетов;</w:t>
      </w:r>
    </w:p>
    <w:p w:rsidR="00E02C00" w:rsidRPr="00E02C00" w:rsidRDefault="00E02C00" w:rsidP="00E02C00">
      <w:pPr>
        <w:autoSpaceDE w:val="0"/>
        <w:autoSpaceDN w:val="0"/>
        <w:adjustRightInd w:val="0"/>
        <w:ind w:firstLine="709"/>
        <w:jc w:val="both"/>
        <w:rPr>
          <w:i/>
          <w:sz w:val="28"/>
          <w:szCs w:val="28"/>
        </w:rPr>
      </w:pPr>
      <w:r w:rsidRPr="00E02C00">
        <w:rPr>
          <w:i/>
          <w:sz w:val="28"/>
          <w:szCs w:val="28"/>
        </w:rPr>
        <w:t>11) порядок хранения невостребованных выигрышей и порядок их востребования по истечении сроков получения выигрышей.</w:t>
      </w:r>
    </w:p>
    <w:p w:rsidR="00E02C00" w:rsidRPr="00E02C00" w:rsidRDefault="00E02C00" w:rsidP="00E02C00">
      <w:pPr>
        <w:autoSpaceDE w:val="0"/>
        <w:autoSpaceDN w:val="0"/>
        <w:adjustRightInd w:val="0"/>
        <w:ind w:firstLine="709"/>
        <w:jc w:val="both"/>
        <w:rPr>
          <w:i/>
          <w:iCs/>
          <w:sz w:val="28"/>
          <w:szCs w:val="28"/>
        </w:rPr>
      </w:pPr>
      <w:proofErr w:type="gramStart"/>
      <w:r w:rsidRPr="00E02C00">
        <w:rPr>
          <w:i/>
          <w:iCs/>
          <w:sz w:val="28"/>
          <w:szCs w:val="28"/>
        </w:rPr>
        <w:t xml:space="preserve">12) Федеральный орган исполнительной власти, уполномоченный Правительством Российской Федерации, уполномоченный орган исполнительной власти субъекта Российской Федерации или уполномоченный орган местного самоуправления запрашивает в налоговых органах по месту нахождения заявителя справку о наличии или об </w:t>
      </w:r>
      <w:r w:rsidRPr="00E02C00">
        <w:rPr>
          <w:i/>
          <w:iCs/>
          <w:sz w:val="28"/>
          <w:szCs w:val="28"/>
        </w:rPr>
        <w:lastRenderedPageBreak/>
        <w:t>отсутствии задолженности по уплате налогов и сборов и бухгалтерский баланс заявителя по состоянию на последнюю отчетную дату, предшествующую подаче заявления о предоставлении разрешения на проведение лотереи</w:t>
      </w:r>
      <w:proofErr w:type="gramEnd"/>
      <w:r w:rsidRPr="00E02C00">
        <w:rPr>
          <w:i/>
          <w:iCs/>
          <w:sz w:val="28"/>
          <w:szCs w:val="28"/>
        </w:rPr>
        <w:t>, если заявитель не представил указанные документы самостоятельно.</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7. Не допускается требовать от заявителя документы, не предусмотренные настоящим Федеральным законом.</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 xml:space="preserve">8. Положения настоящей статьи не распространяются </w:t>
      </w:r>
      <w:proofErr w:type="gramStart"/>
      <w:r w:rsidRPr="009918DD">
        <w:rPr>
          <w:i/>
          <w:sz w:val="28"/>
          <w:szCs w:val="28"/>
        </w:rPr>
        <w:t>на</w:t>
      </w:r>
      <w:proofErr w:type="gramEnd"/>
      <w:r w:rsidRPr="009918DD">
        <w:rPr>
          <w:i/>
          <w:sz w:val="28"/>
          <w:szCs w:val="28"/>
        </w:rPr>
        <w:t>:</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1) государственные лотереи;</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2) муниципальные лотереи, организатором которых является уполномоченный орган местного самоуправления;</w:t>
      </w:r>
    </w:p>
    <w:p w:rsidR="00903FBC" w:rsidRPr="009918DD" w:rsidRDefault="00903FBC" w:rsidP="00903FBC">
      <w:pPr>
        <w:autoSpaceDE w:val="0"/>
        <w:autoSpaceDN w:val="0"/>
        <w:adjustRightInd w:val="0"/>
        <w:ind w:firstLine="709"/>
        <w:jc w:val="both"/>
        <w:rPr>
          <w:rFonts w:eastAsiaTheme="minorHAnsi"/>
          <w:i/>
          <w:sz w:val="28"/>
          <w:szCs w:val="28"/>
          <w:lang w:eastAsia="en-US"/>
        </w:rPr>
      </w:pPr>
      <w:r w:rsidRPr="009918DD">
        <w:rPr>
          <w:i/>
          <w:sz w:val="28"/>
          <w:szCs w:val="28"/>
        </w:rPr>
        <w:t>3) стимулирующие лотереи.</w:t>
      </w:r>
    </w:p>
    <w:p w:rsidR="00455EBB" w:rsidRDefault="00455EBB"/>
    <w:sectPr w:rsidR="00455EBB" w:rsidSect="00455E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BC"/>
    <w:rsid w:val="00455EBB"/>
    <w:rsid w:val="00761799"/>
    <w:rsid w:val="00903FBC"/>
    <w:rsid w:val="00984209"/>
    <w:rsid w:val="009862C6"/>
    <w:rsid w:val="00C91E8B"/>
    <w:rsid w:val="00CD7129"/>
    <w:rsid w:val="00D20CFC"/>
    <w:rsid w:val="00E02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BC"/>
    <w:pPr>
      <w:spacing w:after="0" w:line="240" w:lineRule="auto"/>
    </w:pPr>
    <w:rPr>
      <w:rFonts w:eastAsia="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FB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77304-7580-41D3-8D10-C834003A96D6}"/>
</file>

<file path=customXml/itemProps2.xml><?xml version="1.0" encoding="utf-8"?>
<ds:datastoreItem xmlns:ds="http://schemas.openxmlformats.org/officeDocument/2006/customXml" ds:itemID="{93112131-4C12-460D-941C-B1760857C1B7}"/>
</file>

<file path=customXml/itemProps3.xml><?xml version="1.0" encoding="utf-8"?>
<ds:datastoreItem xmlns:ds="http://schemas.openxmlformats.org/officeDocument/2006/customXml" ds:itemID="{44B3519C-056E-4712-890E-7E56114C3E8F}"/>
</file>

<file path=docProps/app.xml><?xml version="1.0" encoding="utf-8"?>
<Properties xmlns="http://schemas.openxmlformats.org/officeDocument/2006/extended-properties" xmlns:vt="http://schemas.openxmlformats.org/officeDocument/2006/docPropsVTypes">
  <Template>Normal</Template>
  <TotalTime>8</TotalTime>
  <Pages>3</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dc:creator>
  <cp:keywords/>
  <dc:description/>
  <cp:lastModifiedBy>Peskovec</cp:lastModifiedBy>
  <cp:revision>2</cp:revision>
  <dcterms:created xsi:type="dcterms:W3CDTF">2010-08-03T07:43:00Z</dcterms:created>
  <dcterms:modified xsi:type="dcterms:W3CDTF">2013-07-08T04:36:00Z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