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D1407B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проект схемы расположения земельн</w:t>
      </w:r>
      <w:r w:rsidR="0010317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</w:t>
      </w:r>
      <w:r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многоквартирным</w:t>
      </w:r>
      <w:r w:rsidR="00AC3A75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жилым</w:t>
      </w:r>
      <w:r w:rsidR="00AC3A75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дом</w:t>
      </w:r>
      <w:r w:rsidR="00AC3A75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="00513C9D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м</w:t>
      </w:r>
      <w:r w:rsidR="00AC3A75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, расположенным</w:t>
      </w:r>
      <w:r w:rsidR="00AC3A75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по адресу: г. Красноярск, </w:t>
      </w:r>
      <w:r w:rsidR="00AC3A75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Центральный</w:t>
      </w:r>
      <w:r w:rsidR="00FF6B25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</w:t>
      </w:r>
      <w:r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район, </w:t>
      </w:r>
      <w:r w:rsidR="00AC3A75" w:rsidRPr="00D1407B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ул. </w:t>
      </w:r>
      <w:r w:rsidR="00D1407B" w:rsidRPr="00D1407B">
        <w:rPr>
          <w:rFonts w:ascii="Times New Roman" w:hAnsi="Times New Roman" w:cs="Times New Roman"/>
          <w:sz w:val="24"/>
          <w:szCs w:val="24"/>
          <w:u w:val="single"/>
        </w:rPr>
        <w:t>ул. Д. Мартынова, № 25, 27, 29, 31, 33, 35, 37, 39, 41, 43, 45, 47, ул. Чернышевского, № 71, 73, ул. Л. Шевцовой, № 74, 76, 78.</w:t>
      </w:r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данных,  то  есть  совершение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A1BA6"/>
    <w:rsid w:val="0037088C"/>
    <w:rsid w:val="004B1B08"/>
    <w:rsid w:val="004F7B61"/>
    <w:rsid w:val="00513C9D"/>
    <w:rsid w:val="005A1A42"/>
    <w:rsid w:val="00774C11"/>
    <w:rsid w:val="008A388A"/>
    <w:rsid w:val="0095641C"/>
    <w:rsid w:val="00A13BFF"/>
    <w:rsid w:val="00AC3A75"/>
    <w:rsid w:val="00AF3320"/>
    <w:rsid w:val="00B8672F"/>
    <w:rsid w:val="00D1407B"/>
    <w:rsid w:val="00D30D08"/>
    <w:rsid w:val="00E04E8D"/>
    <w:rsid w:val="00F71FD0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EA36-D285-4A60-B0D2-6B87084415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7</cp:revision>
  <dcterms:created xsi:type="dcterms:W3CDTF">2023-11-01T02:47:00Z</dcterms:created>
  <dcterms:modified xsi:type="dcterms:W3CDTF">2023-11-27T02:19:00Z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