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3B" w:rsidRDefault="00600557">
      <w:pPr>
        <w:pStyle w:val="Standard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74D3B" w:rsidRDefault="00074D3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74D3B" w:rsidRDefault="0060055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74D3B" w:rsidRDefault="00074D3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74D3B" w:rsidRDefault="0060055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074D3B" w:rsidRDefault="00074D3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74D3B" w:rsidRDefault="00074D3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74D3B" w:rsidRDefault="00074D3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074D3B" w:rsidRDefault="00600557">
      <w:pPr>
        <w:pStyle w:val="a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  </w:t>
      </w:r>
    </w:p>
    <w:p w:rsidR="00000000" w:rsidRDefault="00600557">
      <w:pPr>
        <w:sectPr w:rsidR="00000000">
          <w:headerReference w:type="default" r:id="rId9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074D3B" w:rsidRDefault="00600557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О внесении изменений</w:t>
      </w:r>
    </w:p>
    <w:p w:rsidR="00074D3B" w:rsidRDefault="00600557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постановление администрации</w:t>
      </w:r>
    </w:p>
    <w:p w:rsidR="00074D3B" w:rsidRDefault="00600557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27.09.2012 № 415</w:t>
      </w:r>
    </w:p>
    <w:bookmarkEnd w:id="0"/>
    <w:p w:rsidR="00074D3B" w:rsidRDefault="00074D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74D3B" w:rsidRDefault="00074D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74D3B" w:rsidRDefault="00074D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74D3B" w:rsidRDefault="00600557">
      <w:pPr>
        <w:pStyle w:val="Standard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целях оптимизации схемы размещения </w:t>
      </w:r>
      <w:r>
        <w:rPr>
          <w:rFonts w:ascii="Times New Roman" w:hAnsi="Times New Roman" w:cs="Times New Roman"/>
          <w:sz w:val="30"/>
          <w:szCs w:val="30"/>
        </w:rPr>
        <w:t>временных сооружений, в связи с обращениями физических и юридических лиц о включении временных сооружений в схему размещения временных сооружений                на территории города Красноярска, утвержденную постановлением администрации города от 27.09.201</w:t>
      </w:r>
      <w:r>
        <w:rPr>
          <w:rFonts w:ascii="Times New Roman" w:hAnsi="Times New Roman" w:cs="Times New Roman"/>
          <w:sz w:val="30"/>
          <w:szCs w:val="30"/>
        </w:rPr>
        <w:t xml:space="preserve">2 № 415, в соответствии со </w:t>
      </w:r>
      <w:hyperlink r:id="rId10" w:history="1">
        <w:r>
          <w:rPr>
            <w:rFonts w:ascii="Times New Roman" w:hAnsi="Times New Roman" w:cs="Times New Roman"/>
            <w:color w:val="00000A"/>
            <w:sz w:val="30"/>
            <w:szCs w:val="30"/>
          </w:rPr>
          <w:t>ст. 16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</w:t>
      </w:r>
      <w:r>
        <w:rPr>
          <w:rFonts w:ascii="Times New Roman" w:hAnsi="Times New Roman" w:cs="Times New Roman"/>
          <w:sz w:val="30"/>
          <w:szCs w:val="30"/>
        </w:rPr>
        <w:t>равления в Российской Федерации», постановлением администрации города от 02.04.2012 № 137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утверждения схемы размещения временных сооружений на территории города Красноярска», руководствуясь </w:t>
      </w:r>
      <w:hyperlink r:id="rId11" w:history="1">
        <w:r>
          <w:rPr>
            <w:rFonts w:ascii="Times New Roman" w:hAnsi="Times New Roman" w:cs="Times New Roman"/>
            <w:color w:val="00000A"/>
            <w:sz w:val="30"/>
            <w:szCs w:val="30"/>
          </w:rPr>
          <w:t>ст. 41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0A"/>
            <w:sz w:val="30"/>
            <w:szCs w:val="30"/>
          </w:rPr>
          <w:t>58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0A"/>
            <w:sz w:val="30"/>
            <w:szCs w:val="30"/>
          </w:rPr>
          <w:t>59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074D3B" w:rsidRDefault="006005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  <w:t>постановляю:</w:t>
      </w:r>
    </w:p>
    <w:p w:rsidR="00074D3B" w:rsidRDefault="00600557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Внести в приложение к постановлению администраци</w:t>
      </w:r>
      <w:r>
        <w:rPr>
          <w:rFonts w:ascii="Times New Roman" w:hAnsi="Times New Roman" w:cs="Times New Roman"/>
          <w:sz w:val="30"/>
          <w:szCs w:val="30"/>
        </w:rPr>
        <w:t>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074D3B" w:rsidRDefault="0060055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графу «Период размещения временных сооружений» строки 216 таблицы изложить в следующей редакции: «до 01.07.2018»;</w:t>
      </w:r>
    </w:p>
    <w:p w:rsidR="00074D3B" w:rsidRDefault="00600557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) графу «Период размещения временных сооружений» строк   200, 1618, 2459 таблицы изложить в следующей редакции: «до 01.01.2019»;</w:t>
      </w:r>
    </w:p>
    <w:p w:rsidR="00074D3B" w:rsidRDefault="00600557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3) графу «Период размещения временных сооружений» строк   497, 498, 1602, 2182, 2743 таблицы изложить в следующей редакции: «до</w:t>
      </w:r>
      <w:r>
        <w:rPr>
          <w:rFonts w:ascii="Times New Roman" w:hAnsi="Times New Roman" w:cs="Times New Roman"/>
          <w:sz w:val="30"/>
          <w:szCs w:val="30"/>
        </w:rPr>
        <w:t xml:space="preserve"> 01.01.2021»;</w:t>
      </w:r>
    </w:p>
    <w:p w:rsidR="00074D3B" w:rsidRDefault="00600557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4) графу «Период размещения временных сооружений» строки  280 таблицы изложить в следующей редакции: «до 01.04.2021»;</w:t>
      </w:r>
    </w:p>
    <w:p w:rsidR="00074D3B" w:rsidRDefault="00600557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5) </w:t>
      </w:r>
      <w:r>
        <w:rPr>
          <w:rFonts w:ascii="Times New Roman" w:hAnsi="Times New Roman" w:cs="Times New Roman"/>
          <w:sz w:val="30"/>
          <w:szCs w:val="30"/>
        </w:rPr>
        <w:t>строки 513, 547, 1650, 2396, 2397, 2634 таблицы исключить;</w:t>
      </w:r>
    </w:p>
    <w:p w:rsidR="00074D3B" w:rsidRDefault="0060055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7) отдельные строки таблицы изложить в следующей редакции:</w:t>
      </w:r>
    </w:p>
    <w:tbl>
      <w:tblPr>
        <w:tblW w:w="9216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2692"/>
        <w:gridCol w:w="1276"/>
        <w:gridCol w:w="2130"/>
      </w:tblGrid>
      <w:tr w:rsidR="00074D3B">
        <w:tblPrEx>
          <w:tblCellMar>
            <w:top w:w="0" w:type="dxa"/>
            <w:bottom w:w="0" w:type="dxa"/>
          </w:tblCellMar>
        </w:tblPrEx>
        <w:trPr>
          <w:trHeight w:val="227"/>
          <w:tblHeader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074D3B" w:rsidRDefault="006005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Дорожная, 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343,3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01.01.2020</w:t>
            </w:r>
          </w:p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Свердловская 151а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01.01.2020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2401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Высотная, 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 01.01.2020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2552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Северное шоссе, 31г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5124,0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2571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Комплекс временных объектов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Амурская, 35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10000,0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aa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01.01.2022</w:t>
            </w:r>
          </w:p>
        </w:tc>
      </w:tr>
    </w:tbl>
    <w:p w:rsidR="00074D3B" w:rsidRDefault="0060055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8) после строки дополнить строками </w:t>
      </w:r>
      <w:r>
        <w:rPr>
          <w:rFonts w:ascii="Times New Roman" w:hAnsi="Times New Roman" w:cs="Times New Roman"/>
          <w:sz w:val="30"/>
          <w:szCs w:val="30"/>
        </w:rPr>
        <w:t>в редакции согласно приложению к настоящему постановлению.</w:t>
      </w:r>
    </w:p>
    <w:p w:rsidR="00074D3B" w:rsidRDefault="0060055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074D3B" w:rsidRDefault="0060055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3. Постановление вступает в силу со дня его официального опубликования.</w:t>
      </w:r>
    </w:p>
    <w:p w:rsidR="00074D3B" w:rsidRDefault="00074D3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74D3B" w:rsidRDefault="00074D3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74D3B" w:rsidRDefault="00074D3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74D3B" w:rsidRDefault="00600557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Глава города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           С.В. Еремин</w:t>
      </w:r>
    </w:p>
    <w:p w:rsidR="00074D3B" w:rsidRDefault="00074D3B">
      <w:pPr>
        <w:pStyle w:val="Standard"/>
        <w:rPr>
          <w:rFonts w:ascii="Times New Roman" w:eastAsia="Times New Roman" w:hAnsi="Times New Roman" w:cs="Times New Roman"/>
          <w:sz w:val="30"/>
          <w:szCs w:val="30"/>
        </w:rPr>
      </w:pPr>
    </w:p>
    <w:p w:rsidR="00074D3B" w:rsidRDefault="00600557">
      <w:pPr>
        <w:pStyle w:val="Standard"/>
        <w:pageBreakBefore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</w:t>
      </w:r>
    </w:p>
    <w:p w:rsidR="00074D3B" w:rsidRDefault="00600557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074D3B" w:rsidRDefault="00600557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074D3B" w:rsidRDefault="00600557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074D3B" w:rsidRDefault="00074D3B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74D3B" w:rsidRDefault="00074D3B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74D3B" w:rsidRDefault="00074D3B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2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2310"/>
        <w:gridCol w:w="2700"/>
        <w:gridCol w:w="1413"/>
        <w:gridCol w:w="2126"/>
      </w:tblGrid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размещения временных сооружений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4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Свердловский район</w:t>
            </w:r>
          </w:p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Алеши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Тимошенкова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92а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10 000,0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62г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2600,0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блочная автоматическая мини-АЗС</w:t>
            </w:r>
          </w:p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60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лет Октября, 124/1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Академика Вавилова,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4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Советский район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 Молокова, 68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31,43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01.08.2024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пр-т Металлургов, 55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9,23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Светлова, 9/2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24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Северное шоссе, 9ж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служебная станция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пр. Молодежный, 33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Авиаторов, 45, 47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492,9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площадка для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парковки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Авиаторов, 45, 47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419,3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пр. Металлургов, 2д, стр. 150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2060,0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Соревнования, в районе дома</w:t>
            </w:r>
          </w:p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25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блочная автоматическая мини-АЗС</w:t>
            </w:r>
          </w:p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9 Мая, 62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Батурина, 9г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4006,0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31.12.2020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166,0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4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Железнодорожный район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Красная площадь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Севере-Енисейская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, 52а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железобе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-тонный гараж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Робеспьера, 23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12,17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железобе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-тонный гараж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Новая Заря, 10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43 «ж»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8,82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01.05.2025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4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Кировский район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Новая,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729,8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Коммунальная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(напротив дома 12)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открытый склад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Монтажников, в районе СНТ «Механизатор»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4000,0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открытый склад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Монтажников, в районе СНТ «Сады 1»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4000,0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4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Октябрьский район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Академика Киренского, 27б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Комплектная трансформаторная подстанция (КТП)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Беловежская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, 16, садоводческое товарищество «Гелиос-2»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4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Центральный район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Шахтеров, 59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2109,0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  <w:p w:rsidR="00074D3B" w:rsidRDefault="00074D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Ленина, 74г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1034,0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железобетонный гараж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Дубровинского, 82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074D3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074D3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железобетонный гараж</w:t>
            </w:r>
          </w:p>
        </w:tc>
        <w:tc>
          <w:tcPr>
            <w:tcW w:w="2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Дубровинского, 82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74D3B" w:rsidRDefault="0060055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</w:tbl>
    <w:p w:rsidR="00074D3B" w:rsidRDefault="00074D3B">
      <w:pPr>
        <w:pStyle w:val="Standard"/>
        <w:tabs>
          <w:tab w:val="left" w:pos="2970"/>
        </w:tabs>
        <w:spacing w:after="0" w:line="240" w:lineRule="auto"/>
        <w:jc w:val="both"/>
      </w:pPr>
    </w:p>
    <w:sectPr w:rsidR="00074D3B">
      <w:type w:val="continuous"/>
      <w:pgSz w:w="11906" w:h="16838"/>
      <w:pgMar w:top="720" w:right="567" w:bottom="1134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57" w:rsidRDefault="00600557">
      <w:pPr>
        <w:spacing w:after="0" w:line="240" w:lineRule="auto"/>
      </w:pPr>
      <w:r>
        <w:separator/>
      </w:r>
    </w:p>
  </w:endnote>
  <w:endnote w:type="continuationSeparator" w:id="0">
    <w:p w:rsidR="00600557" w:rsidRDefault="0060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57" w:rsidRDefault="00600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00557" w:rsidRDefault="0060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39" w:rsidRDefault="0060055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01E"/>
    <w:multiLevelType w:val="multilevel"/>
    <w:tmpl w:val="21CAAF1E"/>
    <w:styleLink w:val="WWNum1"/>
    <w:lvl w:ilvl="0">
      <w:start w:val="1"/>
      <w:numFmt w:val="decimal"/>
      <w:lvlText w:val="%1."/>
      <w:lvlJc w:val="left"/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53E4113D"/>
    <w:multiLevelType w:val="multilevel"/>
    <w:tmpl w:val="13D42254"/>
    <w:styleLink w:val="WWNum2"/>
    <w:lvl w:ilvl="0">
      <w:start w:val="2583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4D3B"/>
    <w:rsid w:val="00074D3B"/>
    <w:rsid w:val="00462A58"/>
    <w:rsid w:val="0060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List Paragraph"/>
    <w:basedOn w:val="Standard"/>
    <w:pPr>
      <w:ind w:left="720"/>
    </w:pPr>
  </w:style>
  <w:style w:type="paragraph" w:customStyle="1" w:styleId="ConsPlusNormal">
    <w:name w:val="ConsPlusNormal"/>
    <w:pPr>
      <w:suppressAutoHyphens/>
      <w:spacing w:after="0" w:line="240" w:lineRule="auto"/>
    </w:pPr>
    <w:rPr>
      <w:rFonts w:cs="Calibri"/>
    </w:rPr>
  </w:style>
  <w:style w:type="paragraph" w:customStyle="1" w:styleId="ConsPlusNonformat">
    <w:name w:val="ConsPlusNonformat"/>
    <w:pPr>
      <w:suppressAutoHyphens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suppressAutoHyphens/>
      <w:spacing w:after="0" w:line="240" w:lineRule="auto"/>
    </w:pPr>
    <w:rPr>
      <w:rFonts w:cs="Calibri"/>
      <w:b/>
      <w:bCs/>
    </w:rPr>
  </w:style>
  <w:style w:type="paragraph" w:customStyle="1" w:styleId="ConsPlusCell">
    <w:name w:val="ConsPlusCell"/>
    <w:pPr>
      <w:suppressAutoHyphens/>
      <w:spacing w:after="0" w:line="240" w:lineRule="auto"/>
    </w:pPr>
    <w:rPr>
      <w:rFonts w:cs="Calibri"/>
    </w:rPr>
  </w:style>
  <w:style w:type="paragraph" w:styleId="a7">
    <w:name w:val="No Spacing"/>
    <w:basedOn w:val="Standard"/>
    <w:pPr>
      <w:spacing w:after="0" w:line="240" w:lineRule="auto"/>
    </w:pPr>
    <w:rPr>
      <w:rFonts w:ascii="Times New Roman" w:eastAsia="Times New Roman" w:hAnsi="Times New Roman" w:cs="Times New Roman"/>
      <w:sz w:val="30"/>
    </w:rPr>
  </w:style>
  <w:style w:type="paragraph" w:styleId="a8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Нормальный (таблица)"/>
    <w:basedOn w:val="Standard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Standar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eastAsia="Times New Roman"/>
      <w:color w:val="000000"/>
    </w:rPr>
  </w:style>
  <w:style w:type="character" w:customStyle="1" w:styleId="NumberingSymbols">
    <w:name w:val="Numbering Symbols"/>
  </w:style>
  <w:style w:type="character" w:styleId="af">
    <w:name w:val="Hyperlink"/>
    <w:basedOn w:val="a0"/>
    <w:rPr>
      <w:color w:val="0000FF"/>
      <w:u w:val="single"/>
    </w:rPr>
  </w:style>
  <w:style w:type="character" w:customStyle="1" w:styleId="1">
    <w:name w:val="Верхний колонтитул Знак1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List Paragraph"/>
    <w:basedOn w:val="Standard"/>
    <w:pPr>
      <w:ind w:left="720"/>
    </w:pPr>
  </w:style>
  <w:style w:type="paragraph" w:customStyle="1" w:styleId="ConsPlusNormal">
    <w:name w:val="ConsPlusNormal"/>
    <w:pPr>
      <w:suppressAutoHyphens/>
      <w:spacing w:after="0" w:line="240" w:lineRule="auto"/>
    </w:pPr>
    <w:rPr>
      <w:rFonts w:cs="Calibri"/>
    </w:rPr>
  </w:style>
  <w:style w:type="paragraph" w:customStyle="1" w:styleId="ConsPlusNonformat">
    <w:name w:val="ConsPlusNonformat"/>
    <w:pPr>
      <w:suppressAutoHyphens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suppressAutoHyphens/>
      <w:spacing w:after="0" w:line="240" w:lineRule="auto"/>
    </w:pPr>
    <w:rPr>
      <w:rFonts w:cs="Calibri"/>
      <w:b/>
      <w:bCs/>
    </w:rPr>
  </w:style>
  <w:style w:type="paragraph" w:customStyle="1" w:styleId="ConsPlusCell">
    <w:name w:val="ConsPlusCell"/>
    <w:pPr>
      <w:suppressAutoHyphens/>
      <w:spacing w:after="0" w:line="240" w:lineRule="auto"/>
    </w:pPr>
    <w:rPr>
      <w:rFonts w:cs="Calibri"/>
    </w:rPr>
  </w:style>
  <w:style w:type="paragraph" w:styleId="a7">
    <w:name w:val="No Spacing"/>
    <w:basedOn w:val="Standard"/>
    <w:pPr>
      <w:spacing w:after="0" w:line="240" w:lineRule="auto"/>
    </w:pPr>
    <w:rPr>
      <w:rFonts w:ascii="Times New Roman" w:eastAsia="Times New Roman" w:hAnsi="Times New Roman" w:cs="Times New Roman"/>
      <w:sz w:val="30"/>
    </w:rPr>
  </w:style>
  <w:style w:type="paragraph" w:styleId="a8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Нормальный (таблица)"/>
    <w:basedOn w:val="Standard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Standar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eastAsia="Times New Roman"/>
      <w:color w:val="000000"/>
    </w:rPr>
  </w:style>
  <w:style w:type="character" w:customStyle="1" w:styleId="NumberingSymbols">
    <w:name w:val="Numbering Symbols"/>
  </w:style>
  <w:style w:type="character" w:styleId="af">
    <w:name w:val="Hyperlink"/>
    <w:basedOn w:val="a0"/>
    <w:rPr>
      <w:color w:val="0000FF"/>
      <w:u w:val="single"/>
    </w:rPr>
  </w:style>
  <w:style w:type="character" w:customStyle="1" w:styleId="1">
    <w:name w:val="Верхний колонтитул Знак1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F5FB95772FB73EB761282E26D326B4EAFB279B23503AFF0C75C21BC6EED95228BBEFE37AA2F357C968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8CCEDF-5F0A-453E-B213-83F28EEBA307}"/>
</file>

<file path=customXml/itemProps2.xml><?xml version="1.0" encoding="utf-8"?>
<ds:datastoreItem xmlns:ds="http://schemas.openxmlformats.org/officeDocument/2006/customXml" ds:itemID="{416B7DA1-23BA-4A09-A79B-7E3FD5FB383C}"/>
</file>

<file path=customXml/itemProps3.xml><?xml version="1.0" encoding="utf-8"?>
<ds:datastoreItem xmlns:ds="http://schemas.openxmlformats.org/officeDocument/2006/customXml" ds:itemID="{23BF5F5B-3898-45DC-A0D6-4F8D3BC5A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информатизации и связи</dc:creator>
  <cp:lastModifiedBy>Калашников Андрей Владимирович</cp:lastModifiedBy>
  <cp:revision>2</cp:revision>
  <cp:lastPrinted>2018-04-03T05:02:00Z</cp:lastPrinted>
  <dcterms:created xsi:type="dcterms:W3CDTF">2018-04-13T08:49:00Z</dcterms:created>
  <dcterms:modified xsi:type="dcterms:W3CDTF">2018-04-13T08:49:00Z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города Красноярска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0x0101009DB8CC4468B38A42A579C378991AAC85</vt:lpwstr>
  </property>
</Properties>
</file>