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F21A0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2E9C5CE2" wp14:editId="3FA41E9F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1257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9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C1C40" w:rsidRPr="00F71257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О внесении изменений</w:t>
      </w:r>
    </w:p>
    <w:p w:rsidR="006C1C40" w:rsidRPr="00F71257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в постановление администрации</w:t>
      </w:r>
    </w:p>
    <w:p w:rsidR="006C1C40" w:rsidRPr="00F71257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27.09.2012 № 415</w:t>
      </w:r>
    </w:p>
    <w:p w:rsidR="006C1C40" w:rsidRPr="00F71257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71257">
        <w:rPr>
          <w:rFonts w:ascii="Times New Roman" w:hAnsi="Times New Roman" w:cs="Times New Roman"/>
          <w:sz w:val="30"/>
          <w:szCs w:val="30"/>
        </w:rPr>
        <w:t xml:space="preserve">В целях оптимизации схемы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               на территории города Красноярска, утвержденную постановлением администрации города от 27.09.2012 № 415, в соответствии со </w:t>
      </w:r>
      <w:hyperlink r:id="rId10" w:history="1">
        <w:r w:rsidRPr="00F71257">
          <w:rPr>
            <w:rFonts w:ascii="Times New Roman" w:hAnsi="Times New Roman" w:cs="Times New Roman"/>
            <w:color w:val="00000A"/>
            <w:sz w:val="30"/>
            <w:szCs w:val="30"/>
          </w:rPr>
          <w:t>ст. 16</w:t>
        </w:r>
      </w:hyperlink>
      <w:r w:rsidRPr="00F71257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</w:t>
      </w:r>
      <w:proofErr w:type="gramEnd"/>
      <w:r w:rsidRPr="00F71257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1" w:history="1">
        <w:r w:rsidRPr="00F71257">
          <w:rPr>
            <w:rFonts w:ascii="Times New Roman" w:hAnsi="Times New Roman" w:cs="Times New Roman"/>
            <w:color w:val="00000A"/>
            <w:sz w:val="30"/>
            <w:szCs w:val="30"/>
          </w:rPr>
          <w:t>ст. 41</w:t>
        </w:r>
      </w:hyperlink>
      <w:r w:rsidRPr="00F71257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F71257">
          <w:rPr>
            <w:rFonts w:ascii="Times New Roman" w:hAnsi="Times New Roman" w:cs="Times New Roman"/>
            <w:color w:val="00000A"/>
            <w:sz w:val="30"/>
            <w:szCs w:val="30"/>
          </w:rPr>
          <w:t>58</w:t>
        </w:r>
      </w:hyperlink>
      <w:r w:rsidRPr="00F71257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F71257">
          <w:rPr>
            <w:rFonts w:ascii="Times New Roman" w:hAnsi="Times New Roman" w:cs="Times New Roman"/>
            <w:color w:val="00000A"/>
            <w:sz w:val="30"/>
            <w:szCs w:val="30"/>
          </w:rPr>
          <w:t>59</w:t>
        </w:r>
      </w:hyperlink>
      <w:r w:rsidRPr="00F71257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F71257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aps/>
          <w:color w:val="000000"/>
          <w:sz w:val="30"/>
          <w:szCs w:val="30"/>
        </w:rPr>
        <w:t>постановляю:</w:t>
      </w:r>
    </w:p>
    <w:p w:rsidR="006C1C40" w:rsidRPr="00F71257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 w:rsidRPr="00F71257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540A24" w:rsidRPr="00F71257" w:rsidRDefault="00540A24" w:rsidP="00540A2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 xml:space="preserve">1) графу «Период размещения временных сооружений» строк </w:t>
      </w:r>
      <w:r w:rsidR="00CA36C2">
        <w:rPr>
          <w:rFonts w:ascii="Times New Roman" w:hAnsi="Times New Roman" w:cs="Times New Roman"/>
          <w:sz w:val="30"/>
          <w:szCs w:val="30"/>
        </w:rPr>
        <w:t xml:space="preserve">1707, </w:t>
      </w:r>
      <w:r w:rsidRPr="00F71257">
        <w:rPr>
          <w:rFonts w:ascii="Times New Roman" w:hAnsi="Times New Roman" w:cs="Times New Roman"/>
          <w:sz w:val="30"/>
          <w:szCs w:val="30"/>
        </w:rPr>
        <w:t>2</w:t>
      </w:r>
      <w:r w:rsidR="00CA36C2">
        <w:rPr>
          <w:rFonts w:ascii="Times New Roman" w:hAnsi="Times New Roman" w:cs="Times New Roman"/>
          <w:sz w:val="30"/>
          <w:szCs w:val="30"/>
        </w:rPr>
        <w:t>219</w:t>
      </w:r>
      <w:r w:rsidRPr="00F71257">
        <w:rPr>
          <w:rFonts w:ascii="Times New Roman" w:hAnsi="Times New Roman" w:cs="Times New Roman"/>
          <w:sz w:val="30"/>
          <w:szCs w:val="30"/>
        </w:rPr>
        <w:t xml:space="preserve"> таблицы изложить</w:t>
      </w:r>
      <w:r>
        <w:rPr>
          <w:rFonts w:ascii="Times New Roman" w:hAnsi="Times New Roman" w:cs="Times New Roman"/>
          <w:sz w:val="30"/>
          <w:szCs w:val="30"/>
        </w:rPr>
        <w:t xml:space="preserve"> в следующей редакции: «до 01.07.2021</w:t>
      </w:r>
      <w:r w:rsidRPr="00F71257">
        <w:rPr>
          <w:rFonts w:ascii="Times New Roman" w:hAnsi="Times New Roman" w:cs="Times New Roman"/>
          <w:sz w:val="30"/>
          <w:szCs w:val="30"/>
        </w:rPr>
        <w:t>»;</w:t>
      </w:r>
    </w:p>
    <w:p w:rsidR="006C1C40" w:rsidRPr="008234DF" w:rsidRDefault="002943C7" w:rsidP="00BA2C3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234DF">
        <w:rPr>
          <w:rFonts w:ascii="Times New Roman" w:eastAsia="Times New Roman" w:hAnsi="Times New Roman" w:cs="Times New Roman"/>
          <w:bCs/>
          <w:sz w:val="30"/>
          <w:szCs w:val="30"/>
        </w:rPr>
        <w:t>2</w:t>
      </w:r>
      <w:r w:rsidR="006C1C40" w:rsidRPr="008234DF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8234DF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CE1B8F" w:rsidRPr="008234DF">
        <w:rPr>
          <w:rFonts w:ascii="Times New Roman" w:hAnsi="Times New Roman" w:cs="Times New Roman"/>
          <w:sz w:val="30"/>
          <w:szCs w:val="30"/>
        </w:rPr>
        <w:t>2, 7, 13, 33, 51, 62, 77, 199, 201, 213, 219, 235, 236, 237, 238, 239, 240, 241, 242, 243, 250, 270, 271, 274, 301, 306, 347, 367, 368, 370, 371, 373, 377, 378, 396, 398, 433, 434, 435, 467, 471, 498, 499, 509,</w:t>
      </w:r>
      <w:r w:rsidR="007A5055">
        <w:rPr>
          <w:rFonts w:ascii="Times New Roman" w:hAnsi="Times New Roman" w:cs="Times New Roman"/>
          <w:sz w:val="30"/>
          <w:szCs w:val="30"/>
        </w:rPr>
        <w:t xml:space="preserve"> 510,</w:t>
      </w:r>
      <w:r w:rsidR="00CE1B8F" w:rsidRPr="008234DF">
        <w:rPr>
          <w:rFonts w:ascii="Times New Roman" w:hAnsi="Times New Roman" w:cs="Times New Roman"/>
          <w:sz w:val="30"/>
          <w:szCs w:val="30"/>
        </w:rPr>
        <w:t xml:space="preserve"> </w:t>
      </w:r>
      <w:r w:rsidR="00C83DD2" w:rsidRPr="008234DF">
        <w:rPr>
          <w:rFonts w:ascii="Times New Roman" w:hAnsi="Times New Roman" w:cs="Times New Roman"/>
          <w:sz w:val="30"/>
          <w:szCs w:val="30"/>
        </w:rPr>
        <w:t>543,</w:t>
      </w:r>
      <w:r w:rsidR="000B0355" w:rsidRPr="008234DF">
        <w:rPr>
          <w:rFonts w:ascii="Times New Roman" w:hAnsi="Times New Roman" w:cs="Times New Roman"/>
          <w:sz w:val="30"/>
          <w:szCs w:val="30"/>
        </w:rPr>
        <w:t xml:space="preserve"> </w:t>
      </w:r>
      <w:r w:rsidR="00CE1B8F" w:rsidRPr="008234DF">
        <w:rPr>
          <w:rFonts w:ascii="Times New Roman" w:hAnsi="Times New Roman" w:cs="Times New Roman"/>
          <w:sz w:val="30"/>
          <w:szCs w:val="30"/>
        </w:rPr>
        <w:t>599, 606, 609, 610, 611, 612, 613, 614, 615, 616, 620, 621</w:t>
      </w:r>
      <w:proofErr w:type="gramEnd"/>
      <w:r w:rsidR="00CE1B8F" w:rsidRPr="008234DF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CE1B8F" w:rsidRPr="008234DF">
        <w:rPr>
          <w:rFonts w:ascii="Times New Roman" w:hAnsi="Times New Roman" w:cs="Times New Roman"/>
          <w:sz w:val="30"/>
          <w:szCs w:val="30"/>
        </w:rPr>
        <w:t xml:space="preserve">622, 623, 624, 625, 626, 627, 628, 629, 630, 642, 643, 644, 645, </w:t>
      </w:r>
      <w:r w:rsidR="000B0355" w:rsidRPr="008234DF">
        <w:rPr>
          <w:rFonts w:ascii="Times New Roman" w:hAnsi="Times New Roman" w:cs="Times New Roman"/>
          <w:sz w:val="30"/>
          <w:szCs w:val="30"/>
        </w:rPr>
        <w:t xml:space="preserve">653, 666, </w:t>
      </w:r>
      <w:r w:rsidR="00CE1B8F" w:rsidRPr="008234DF">
        <w:rPr>
          <w:rFonts w:ascii="Times New Roman" w:hAnsi="Times New Roman" w:cs="Times New Roman"/>
          <w:sz w:val="30"/>
          <w:szCs w:val="30"/>
        </w:rPr>
        <w:t xml:space="preserve">693, 694, 723, 725, 726, 728, 744, </w:t>
      </w:r>
      <w:r w:rsidR="000B0355" w:rsidRPr="008234DF">
        <w:rPr>
          <w:rFonts w:ascii="Times New Roman" w:hAnsi="Times New Roman" w:cs="Times New Roman"/>
          <w:sz w:val="30"/>
          <w:szCs w:val="30"/>
        </w:rPr>
        <w:t xml:space="preserve">752, 753, 754, 755, 756, 758, 759, 760, 762, 763, 764, 765, 766, 767, 768, 769, 771, 775, </w:t>
      </w:r>
      <w:r w:rsidR="00CE1B8F" w:rsidRPr="008234DF">
        <w:rPr>
          <w:rFonts w:ascii="Times New Roman" w:hAnsi="Times New Roman" w:cs="Times New Roman"/>
          <w:sz w:val="30"/>
          <w:szCs w:val="30"/>
        </w:rPr>
        <w:t>779, 788, 793, 809, 822, 840, 892, 896, 924, 930, 931, 932, 933, 934, 935, 936, 941, 943, 944, 945</w:t>
      </w:r>
      <w:proofErr w:type="gramEnd"/>
      <w:r w:rsidR="00CE1B8F" w:rsidRPr="008234DF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CE1B8F" w:rsidRPr="008234DF">
        <w:rPr>
          <w:rFonts w:ascii="Times New Roman" w:hAnsi="Times New Roman" w:cs="Times New Roman"/>
          <w:sz w:val="30"/>
          <w:szCs w:val="30"/>
        </w:rPr>
        <w:t xml:space="preserve">949, 950, 958, 961, 962, 963, 966, 975, 981, 982, 985, 986, 987, 988, 990, 991, </w:t>
      </w:r>
      <w:r w:rsidR="00CE1B8F" w:rsidRPr="008234DF">
        <w:rPr>
          <w:rFonts w:ascii="Times New Roman" w:hAnsi="Times New Roman" w:cs="Times New Roman"/>
          <w:sz w:val="30"/>
          <w:szCs w:val="30"/>
        </w:rPr>
        <w:lastRenderedPageBreak/>
        <w:t xml:space="preserve">992, 994, 995, 996, 997, 998, 999, 1000, 1001, 1002, 1003, 1004, 1005, 1006, 1007, 1008, 1009, 1010, 1011, 1014, 1019, 1020, 1021, 1022, 1023, 1024, 1025, 1026, 1027, 1028, 1091, 1143, 1152, 1168, 1174, </w:t>
      </w:r>
      <w:r w:rsidR="00CA36C2" w:rsidRPr="008234DF">
        <w:rPr>
          <w:rFonts w:ascii="Times New Roman" w:hAnsi="Times New Roman" w:cs="Times New Roman"/>
          <w:sz w:val="30"/>
          <w:szCs w:val="30"/>
        </w:rPr>
        <w:t>1204,</w:t>
      </w:r>
      <w:r w:rsidR="00CE1B8F" w:rsidRPr="008234DF">
        <w:rPr>
          <w:rFonts w:ascii="Times New Roman" w:hAnsi="Times New Roman" w:cs="Times New Roman"/>
          <w:sz w:val="30"/>
          <w:szCs w:val="30"/>
        </w:rPr>
        <w:t xml:space="preserve"> 1213, 1214,</w:t>
      </w:r>
      <w:r w:rsidR="00B4215B" w:rsidRPr="008234DF">
        <w:rPr>
          <w:rFonts w:ascii="Times New Roman" w:hAnsi="Times New Roman" w:cs="Times New Roman"/>
          <w:sz w:val="30"/>
          <w:szCs w:val="30"/>
        </w:rPr>
        <w:t xml:space="preserve"> 1223,</w:t>
      </w:r>
      <w:r w:rsidR="00CE1B8F" w:rsidRPr="008234DF">
        <w:rPr>
          <w:rFonts w:ascii="Times New Roman" w:hAnsi="Times New Roman" w:cs="Times New Roman"/>
          <w:sz w:val="30"/>
          <w:szCs w:val="30"/>
        </w:rPr>
        <w:t xml:space="preserve"> 1229, 1232, 1269, 1270, </w:t>
      </w:r>
      <w:r w:rsidR="00B4215B" w:rsidRPr="0076661D">
        <w:rPr>
          <w:rFonts w:ascii="Times New Roman" w:hAnsi="Times New Roman" w:cs="Times New Roman"/>
          <w:color w:val="000000" w:themeColor="text1"/>
          <w:sz w:val="30"/>
          <w:szCs w:val="30"/>
        </w:rPr>
        <w:t>128</w:t>
      </w:r>
      <w:r w:rsidR="00895C7C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proofErr w:type="gramEnd"/>
      <w:r w:rsidR="00B4215B" w:rsidRPr="0076661D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B4215B" w:rsidRPr="008234D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E1B8F" w:rsidRPr="008234DF">
        <w:rPr>
          <w:rFonts w:ascii="Times New Roman" w:hAnsi="Times New Roman" w:cs="Times New Roman"/>
          <w:sz w:val="30"/>
          <w:szCs w:val="30"/>
        </w:rPr>
        <w:t>1345, 1514, 1515, 1516, 1517, 1518, 1519, 1520, 1521, 1522, 1533, 1534, 1535, 1536, 1537, 1556, 1557, 1558, 1559, 1560, 1575, 1582, 1583, 1584, 1585, 1599, 1605, 1606, 1607, 1608, 1619, 1658, 1671, 1674, 1676, 1677, 1678, 1679, 1681, 1682, 1685, 1686, 1687, 1690, 1691, 1692, 1700, 1701, 1702, 1704, 1706, 1716, 1717, 1728, 1729, 1730, 1731, 1732, 1735, 1736</w:t>
      </w:r>
      <w:proofErr w:type="gramEnd"/>
      <w:r w:rsidR="00CE1B8F" w:rsidRPr="008234DF">
        <w:rPr>
          <w:rFonts w:ascii="Times New Roman" w:hAnsi="Times New Roman" w:cs="Times New Roman"/>
          <w:sz w:val="30"/>
          <w:szCs w:val="30"/>
        </w:rPr>
        <w:t xml:space="preserve">, 1737, 1750, 1751, 1752, 1753, 1754, 1840, 1841, 1854, 1935, 2120, 2176, 2177, 2185, 2201, 2222, 2228, </w:t>
      </w:r>
      <w:r w:rsidR="000B0355" w:rsidRPr="008234DF">
        <w:rPr>
          <w:rFonts w:ascii="Times New Roman" w:hAnsi="Times New Roman" w:cs="Times New Roman"/>
          <w:sz w:val="30"/>
          <w:szCs w:val="30"/>
        </w:rPr>
        <w:t>2270,</w:t>
      </w:r>
      <w:r w:rsidR="00C83DD2" w:rsidRPr="008234DF">
        <w:rPr>
          <w:rFonts w:ascii="Times New Roman" w:hAnsi="Times New Roman" w:cs="Times New Roman"/>
          <w:sz w:val="30"/>
          <w:szCs w:val="30"/>
        </w:rPr>
        <w:t xml:space="preserve"> </w:t>
      </w:r>
      <w:r w:rsidR="00CE1B8F" w:rsidRPr="008234DF">
        <w:rPr>
          <w:rFonts w:ascii="Times New Roman" w:hAnsi="Times New Roman" w:cs="Times New Roman"/>
          <w:sz w:val="30"/>
          <w:szCs w:val="30"/>
        </w:rPr>
        <w:t xml:space="preserve">2284, 2297, 2298, 2299, 2309, 2310, 2332, 2333, 2334, 2335, 2336, 2354, 2357, 2361, 2364, 2365, 2379, 2428, </w:t>
      </w:r>
      <w:r w:rsidR="00CD23CF" w:rsidRPr="008234DF">
        <w:rPr>
          <w:rFonts w:ascii="Times New Roman" w:hAnsi="Times New Roman" w:cs="Times New Roman"/>
          <w:sz w:val="30"/>
          <w:szCs w:val="30"/>
        </w:rPr>
        <w:t>2455</w:t>
      </w:r>
      <w:r w:rsidR="00C83DD2" w:rsidRPr="008234DF">
        <w:rPr>
          <w:rFonts w:ascii="Times New Roman" w:hAnsi="Times New Roman" w:cs="Times New Roman"/>
          <w:sz w:val="30"/>
          <w:szCs w:val="30"/>
        </w:rPr>
        <w:t xml:space="preserve">, </w:t>
      </w:r>
      <w:r w:rsidR="00CE1B8F" w:rsidRPr="008234DF">
        <w:rPr>
          <w:rFonts w:ascii="Times New Roman" w:hAnsi="Times New Roman" w:cs="Times New Roman"/>
          <w:sz w:val="30"/>
          <w:szCs w:val="30"/>
        </w:rPr>
        <w:t xml:space="preserve">2483, 2485, 2486, </w:t>
      </w:r>
      <w:r w:rsidR="006C1C40" w:rsidRPr="008234DF">
        <w:rPr>
          <w:rFonts w:ascii="Times New Roman" w:hAnsi="Times New Roman" w:cs="Times New Roman"/>
          <w:sz w:val="30"/>
          <w:szCs w:val="30"/>
        </w:rPr>
        <w:t>таблицы исключить;</w:t>
      </w:r>
    </w:p>
    <w:p w:rsidR="00BA2C38" w:rsidRPr="008234DF" w:rsidRDefault="008234DF" w:rsidP="00BA2C3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3</w:t>
      </w:r>
      <w:r w:rsidR="00BA2C38" w:rsidRPr="008234DF">
        <w:rPr>
          <w:rFonts w:ascii="Times New Roman" w:hAnsi="Times New Roman" w:cs="Times New Roman"/>
          <w:sz w:val="30"/>
          <w:szCs w:val="30"/>
          <w:u w:val="single"/>
        </w:rPr>
        <w:t>) отдельные строки таблицы исключить:</w:t>
      </w:r>
    </w:p>
    <w:tbl>
      <w:tblPr>
        <w:tblW w:w="9403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455"/>
        <w:gridCol w:w="2692"/>
        <w:gridCol w:w="1276"/>
        <w:gridCol w:w="2130"/>
      </w:tblGrid>
      <w:tr w:rsidR="00BA2C38" w:rsidRPr="008234DF" w:rsidTr="00E31608">
        <w:trPr>
          <w:trHeight w:val="22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BA2C38" w:rsidRPr="008234DF" w:rsidRDefault="00BA2C38" w:rsidP="00E316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2603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Демьяна Бедного, 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Северное шоссе, 17и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615,4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2605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Брянская, 137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960,0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2606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Кирова – ул. Республики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255,0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2607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Сурикова, 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2608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Открытый склад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Северное шоссе,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20000,0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2609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 xml:space="preserve">Площадка для </w:t>
            </w:r>
            <w:r w:rsidRPr="008234D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ул. Наклонная, 2а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350,0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2610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пр-т Свободный, 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1992,0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2611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Телевизорная, 1, стр.9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1148,0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2612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Калинина, 175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983,0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2613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Калинина, 175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294,0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Летняя веранда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Вильского</w:t>
            </w:r>
            <w:proofErr w:type="spellEnd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, 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120,0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2615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Шахтеров, 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6831,0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2616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40 лет Победы, 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2617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пр-т Ульяновский, 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76661D">
        <w:trPr>
          <w:trHeight w:val="91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2618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, 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1000,0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01.08.2024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A2C38" w:rsidRPr="008234DF" w:rsidTr="00E31608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2619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76661D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Енисейский тракт, 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01.08.2024</w:t>
            </w:r>
          </w:p>
          <w:p w:rsidR="00BA2C38" w:rsidRPr="008234DF" w:rsidRDefault="00BA2C38" w:rsidP="00E3160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C1C40" w:rsidRPr="008234DF" w:rsidRDefault="008234DF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4</w:t>
      </w:r>
      <w:r w:rsidR="006C1C40" w:rsidRPr="008234DF">
        <w:rPr>
          <w:rFonts w:ascii="Times New Roman" w:eastAsia="Times New Roman" w:hAnsi="Times New Roman" w:cs="Times New Roman"/>
          <w:bCs/>
          <w:sz w:val="30"/>
          <w:szCs w:val="30"/>
        </w:rPr>
        <w:t>) отдельные строки таблицы изложить в следующей редакции:</w:t>
      </w:r>
    </w:p>
    <w:tbl>
      <w:tblPr>
        <w:tblW w:w="9403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455"/>
        <w:gridCol w:w="2692"/>
        <w:gridCol w:w="1276"/>
        <w:gridCol w:w="2130"/>
      </w:tblGrid>
      <w:tr w:rsidR="006C1C40" w:rsidRPr="008234DF" w:rsidTr="00346CFD">
        <w:trPr>
          <w:trHeight w:val="22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8234DF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8234DF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8234DF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8234DF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8234DF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8234DF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eastAsia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346CFD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8234DF" w:rsidRDefault="00DD66A2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1382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8234DF" w:rsidRDefault="00346CFD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8234DF" w:rsidRDefault="00346CFD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Рокоссовского, 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8234DF" w:rsidRDefault="00B4215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811, 6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8234DF" w:rsidRDefault="00346CFD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2704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Демьяна Бедного, 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2705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Северное шоссе, 17и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615,4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2706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Брянская, 137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960,0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2707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Кирова – ул. Республики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255,0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2708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Сурикова, 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2709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Открытый склад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Северное шоссе,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20000,0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E05CF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F73CB" w:rsidRPr="008234DF">
              <w:rPr>
                <w:rFonts w:ascii="Times New Roman" w:hAnsi="Times New Roman" w:cs="Times New Roman"/>
                <w:sz w:val="30"/>
                <w:szCs w:val="30"/>
              </w:rPr>
              <w:t>о 01.01.2023</w:t>
            </w: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2710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Наклонная, 2а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350,0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2711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пр-т Свободный, 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1992,0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2712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Телевизорная, 1, стр.9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1148,0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2713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9803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Калинина, 175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983,0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Калинина, 175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294,0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2715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Летняя веранда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9803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Вильского</w:t>
            </w:r>
            <w:proofErr w:type="spellEnd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, 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120,0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2716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9803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Шахтеров, 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6831,0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2717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9803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ул. 40 лет Победы, 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9803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2718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пр-т Ульяновский, 28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01.07.2022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2719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, 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1000,0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8A40E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01.08.2024</w:t>
            </w:r>
          </w:p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F73CB" w:rsidRPr="008234DF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2720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Енисейский тракт, 53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B90AA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8234DF" w:rsidRDefault="004F73CB" w:rsidP="008A40E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234DF">
              <w:rPr>
                <w:rFonts w:ascii="Times New Roman" w:hAnsi="Times New Roman" w:cs="Times New Roman"/>
                <w:sz w:val="30"/>
                <w:szCs w:val="30"/>
              </w:rPr>
              <w:t>до 01.08.2024</w:t>
            </w:r>
          </w:p>
          <w:p w:rsidR="004F73CB" w:rsidRPr="008234DF" w:rsidRDefault="004F73CB" w:rsidP="008A40E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C1C40" w:rsidRDefault="008234DF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6C1C40">
        <w:rPr>
          <w:rFonts w:ascii="Times New Roman" w:hAnsi="Times New Roman" w:cs="Times New Roman"/>
          <w:sz w:val="30"/>
          <w:szCs w:val="30"/>
        </w:rPr>
        <w:t>) дополнить строками 2</w:t>
      </w:r>
      <w:r w:rsidR="00B318F5">
        <w:rPr>
          <w:rFonts w:ascii="Times New Roman" w:hAnsi="Times New Roman" w:cs="Times New Roman"/>
          <w:sz w:val="30"/>
          <w:szCs w:val="30"/>
        </w:rPr>
        <w:t>721-2760</w:t>
      </w:r>
      <w:bookmarkStart w:id="0" w:name="_GoBack"/>
      <w:bookmarkEnd w:id="0"/>
      <w:r w:rsidR="006C1C40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к настоящему постановлению.</w:t>
      </w:r>
    </w:p>
    <w:p w:rsidR="006C1C40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3. Постановление вступает в силу со дня его официального опубликования.</w:t>
      </w:r>
    </w:p>
    <w:p w:rsidR="006C1C40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C1C40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C1C40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C1C40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Глава города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 xml:space="preserve">          </w:t>
      </w:r>
      <w:r w:rsidR="00F3035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С.В. Еремин</w:t>
      </w:r>
    </w:p>
    <w:p w:rsidR="006C1C40" w:rsidRDefault="006C1C40" w:rsidP="006C1C40">
      <w:pPr>
        <w:pStyle w:val="Standard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C1C40">
      <w:pPr>
        <w:pStyle w:val="Standard"/>
        <w:pageBreakBefore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6C1C40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5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2128"/>
      </w:tblGrid>
      <w:tr w:rsidR="006C1C40" w:rsidRPr="00F71257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71257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DC68F9" w:rsidRPr="00F71257" w:rsidTr="00DC68F9">
        <w:trPr>
          <w:cantSplit/>
          <w:trHeight w:val="227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DC68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Октябрьский район</w:t>
            </w:r>
          </w:p>
        </w:tc>
      </w:tr>
      <w:tr w:rsidR="00DC68F9" w:rsidRPr="00F71257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E05CF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Лесная, 209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057C42">
              <w:rPr>
                <w:rFonts w:ascii="Times New Roman" w:hAnsi="Times New Roman" w:cs="Times New Roman"/>
                <w:sz w:val="30"/>
                <w:szCs w:val="30"/>
              </w:rPr>
              <w:t>01.07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  <w:tr w:rsidR="00DC68F9" w:rsidRPr="00F71257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Default="00E05CF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4E215B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Академика Киренского, 58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057C42">
              <w:rPr>
                <w:rFonts w:ascii="Times New Roman" w:hAnsi="Times New Roman" w:cs="Times New Roman"/>
                <w:sz w:val="30"/>
                <w:szCs w:val="30"/>
              </w:rPr>
              <w:t>01.07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  <w:tr w:rsidR="00DC68F9" w:rsidRPr="00F71257" w:rsidTr="007E2BB0">
        <w:trPr>
          <w:cantSplit/>
          <w:trHeight w:val="227"/>
          <w:tblHeader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Default="00DC68F9" w:rsidP="00057C4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Железнодорожный район</w:t>
            </w:r>
          </w:p>
        </w:tc>
      </w:tr>
      <w:tr w:rsidR="00DC68F9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E05CF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Новая Заря, 31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057C4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DC68F9" w:rsidRPr="00F71257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F71257" w:rsidRDefault="00057C4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</w:t>
            </w:r>
            <w:r w:rsidR="00DC68F9" w:rsidRPr="00F71257"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  <w:tr w:rsidR="002E483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Default="002E483E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Перрон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Default="008C392A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Бограда – ул. </w:t>
            </w:r>
            <w:r w:rsidR="002E483E">
              <w:rPr>
                <w:rFonts w:ascii="Times New Roman" w:hAnsi="Times New Roman" w:cs="Times New Roman"/>
                <w:sz w:val="30"/>
                <w:szCs w:val="30"/>
              </w:rPr>
              <w:t>Братьев Абалаковых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Default="002E483E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719,0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CD3B96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</w:t>
            </w:r>
            <w:r w:rsidR="002E483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E483E" w:rsidRPr="00F71257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Центральный район</w:t>
            </w:r>
          </w:p>
        </w:tc>
      </w:tr>
      <w:tr w:rsidR="002E483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Ады Лебедевой, 86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1600,0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</w:t>
            </w: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  <w:tr w:rsidR="002E483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346CF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</w:t>
            </w:r>
            <w:r w:rsidR="00346CF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Блочная автоматическая мини-АЗС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Шахтеров, 18 (напротив)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216,0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2E483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Default="00346CFD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2727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DA010B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A010B">
              <w:rPr>
                <w:rFonts w:ascii="Times New Roman" w:hAnsi="Times New Roman" w:cs="Times New Roman"/>
                <w:bCs/>
                <w:sz w:val="30"/>
                <w:szCs w:val="30"/>
              </w:rPr>
              <w:t>Телекоммуникационный контейнер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DA010B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A010B">
              <w:rPr>
                <w:rFonts w:ascii="Times New Roman" w:hAnsi="Times New Roman" w:cs="Times New Roman"/>
                <w:bCs/>
                <w:sz w:val="30"/>
                <w:szCs w:val="30"/>
              </w:rPr>
              <w:t>ул. Авиационная,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F71257" w:rsidRDefault="002E483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01.07</w:t>
            </w:r>
            <w:r w:rsidRPr="0097418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8234DF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Default="008234D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Pr="00DA010B" w:rsidRDefault="008234DF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Летняя веранда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Pr="00DA010B" w:rsidRDefault="008234DF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пр-т Мира, 81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Default="008234D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Default="008234DF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01.07</w:t>
            </w:r>
            <w:r w:rsidRPr="0097418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8234DF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Default="008234D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2729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Pr="00DA010B" w:rsidRDefault="008234DF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Летняя веранда 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Pr="00DA010B" w:rsidRDefault="008234DF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ул. Дубровинского, 100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Default="008234DF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234DF" w:rsidRDefault="008234DF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01.07</w:t>
            </w:r>
            <w:r w:rsidRPr="0097418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F21A03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1A03" w:rsidRDefault="00F21A03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1A03" w:rsidRDefault="00F21A03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1A03" w:rsidRDefault="00F21A03" w:rsidP="00F21A03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ул. Дудинская, 2«А»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1A03" w:rsidRDefault="00F21A03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21A03" w:rsidRDefault="00F21A03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01.07</w:t>
            </w:r>
            <w:r w:rsidRPr="0097418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E123E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Дизель-генераторная электро</w:t>
            </w:r>
            <w:r w:rsidR="00700F49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под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E123EE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11,0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E123E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F21A03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ул. </w:t>
            </w:r>
            <w:proofErr w:type="gram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Октябрьская</w:t>
            </w:r>
            <w:proofErr w:type="gram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- ул. Авиаторов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 xml:space="preserve">2700,0 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E123E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Комплексная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123EE" w:rsidP="00F21A03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1337C4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западнее </w:t>
            </w:r>
            <w:r w:rsidR="001337C4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8D0323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="00700F49" w:rsidRPr="002A5BC9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F22D0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E123EE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F22D0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F22D0" w:rsidP="00F21A03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485AC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485AC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F22D0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300,0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123EE" w:rsidRPr="002A5BC9" w:rsidRDefault="00EF22D0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EF22D0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F22D0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F22D0" w:rsidRPr="002A5BC9" w:rsidRDefault="00EF22D0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F22D0" w:rsidRPr="002A5BC9" w:rsidRDefault="00EF22D0" w:rsidP="00F21A03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</w:t>
            </w:r>
            <w:r w:rsidR="00485AC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F22D0" w:rsidRPr="002A5BC9" w:rsidRDefault="00EF22D0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216,0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F22D0" w:rsidRPr="002A5BC9" w:rsidRDefault="00EF22D0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58591F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Комплексная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0E2623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0E2623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58591F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</w:t>
            </w:r>
            <w:r w:rsidR="00DA773E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8591F" w:rsidRPr="002A5BC9" w:rsidRDefault="0058591F" w:rsidP="00EB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3C59EA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2738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3C59EA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Комплексная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3C59EA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E62397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E62397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E62397" w:rsidP="00EB69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23,0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3C59EA" w:rsidP="00EB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3C59EA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2739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3C59EA" w:rsidP="00057C42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3C59EA" w:rsidP="00F21A03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5D4B8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5D4B8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3C59EA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174,30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C59EA" w:rsidRPr="002A5BC9" w:rsidRDefault="00595B68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8E7A45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8E7A45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41620B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4162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восточнее </w:t>
            </w:r>
            <w:r w:rsidR="004162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13153,0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595B68" w:rsidP="0005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8E7A45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о.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4162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4162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EB69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15316</w:t>
            </w: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595B68" w:rsidP="00EB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8E7A45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Комплексная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69090B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="006909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6909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900 метров</w:t>
            </w:r>
            <w:r w:rsidR="0069090B"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восточнее Вантового моста 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EB69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E7A45" w:rsidRPr="002A5BC9" w:rsidRDefault="008E7A45" w:rsidP="00EB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2A5BC9" w:rsidRDefault="0041620B" w:rsidP="00EB6989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Комплексная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2A5BC9" w:rsidRDefault="0041620B" w:rsidP="0041620B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Татышев</w:t>
            </w:r>
            <w:proofErr w:type="spellEnd"/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восточнее </w:t>
            </w:r>
            <w:r w:rsidRPr="002A5BC9">
              <w:rPr>
                <w:rFonts w:ascii="Times New Roman" w:hAnsi="Times New Roman" w:cs="Times New Roman"/>
                <w:bCs/>
                <w:sz w:val="30"/>
                <w:szCs w:val="30"/>
              </w:rPr>
              <w:t>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2A5BC9" w:rsidRDefault="0041620B" w:rsidP="00EB69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5BC9">
              <w:rPr>
                <w:rFonts w:ascii="Times New Roman" w:hAnsi="Times New Roman" w:cs="Times New Roman"/>
                <w:sz w:val="30"/>
                <w:szCs w:val="30"/>
              </w:rPr>
              <w:t>36,0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2A5BC9" w:rsidRDefault="0041620B" w:rsidP="00EB6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BC9">
              <w:rPr>
                <w:rFonts w:ascii="Times New Roman" w:hAnsi="Times New Roman" w:cs="Times New Roman"/>
                <w:sz w:val="28"/>
                <w:szCs w:val="28"/>
              </w:rPr>
              <w:t>до 01.07.2023</w:t>
            </w:r>
          </w:p>
        </w:tc>
      </w:tr>
      <w:tr w:rsidR="0041620B" w:rsidRPr="00F71257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C273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Советский район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Светлогорская, 47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3500,0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Светлогорская,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ind w:left="97"/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ул. Светлогорская,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15,0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ул. Светлогорская,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2748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ул. Светлогорская, 2а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2749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ул. Краснодарск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я, 35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2541,0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ул. Славы,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215B">
              <w:rPr>
                <w:rFonts w:ascii="Times New Roman" w:hAnsi="Times New Roman" w:cs="Times New Roman"/>
                <w:sz w:val="30"/>
                <w:szCs w:val="30"/>
              </w:rPr>
              <w:t>до 01.01.2019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Пограничников, 61/1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Пограничников, 61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4E215B" w:rsidTr="00F85C94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E05C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Ленинский район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Шевченко, 16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2607,0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E05CF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05CFB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41620B" w:rsidRPr="004E215B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 (КТП)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СНТ «Гелиос-3», поляна 18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4E215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0E0218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E0218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D063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Кировский район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A762D5" w:rsidP="00346CF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Новая, 19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1028,7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Новая, 19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Новая,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827,8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ул. Новая,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360,4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D063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Свердловский район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Цементников, 20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41620B" w:rsidRPr="00F71257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A762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2760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Семафорная, 129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521,0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1620B" w:rsidRPr="00F71257" w:rsidRDefault="0041620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71257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</w:tbl>
    <w:p w:rsidR="006C1C40" w:rsidRPr="00F71257" w:rsidRDefault="006C1C40" w:rsidP="00057C42">
      <w:pPr>
        <w:pStyle w:val="Standard"/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3474" w:rsidRPr="00F71257" w:rsidRDefault="00F73474" w:rsidP="00057C42">
      <w:pPr>
        <w:rPr>
          <w:rFonts w:ascii="Times New Roman" w:hAnsi="Times New Roman" w:cs="Times New Roman"/>
          <w:sz w:val="30"/>
          <w:szCs w:val="30"/>
        </w:rPr>
      </w:pPr>
    </w:p>
    <w:sectPr w:rsidR="00F73474" w:rsidRPr="00F71257" w:rsidSect="0076661D">
      <w:type w:val="continuous"/>
      <w:pgSz w:w="11906" w:h="16838"/>
      <w:pgMar w:top="720" w:right="567" w:bottom="851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54" w:rsidRDefault="005F4154">
      <w:pPr>
        <w:spacing w:after="0" w:line="240" w:lineRule="auto"/>
      </w:pPr>
      <w:r>
        <w:separator/>
      </w:r>
    </w:p>
  </w:endnote>
  <w:endnote w:type="continuationSeparator" w:id="0">
    <w:p w:rsidR="005F4154" w:rsidRDefault="005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54" w:rsidRDefault="005F4154">
      <w:pPr>
        <w:spacing w:after="0" w:line="240" w:lineRule="auto"/>
      </w:pPr>
      <w:r>
        <w:separator/>
      </w:r>
    </w:p>
  </w:footnote>
  <w:footnote w:type="continuationSeparator" w:id="0">
    <w:p w:rsidR="005F4154" w:rsidRDefault="005F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5F415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57C42"/>
    <w:rsid w:val="0006469A"/>
    <w:rsid w:val="000B0355"/>
    <w:rsid w:val="000C714C"/>
    <w:rsid w:val="000E0218"/>
    <w:rsid w:val="000E2623"/>
    <w:rsid w:val="001337C4"/>
    <w:rsid w:val="001D1012"/>
    <w:rsid w:val="00282BE8"/>
    <w:rsid w:val="002943C7"/>
    <w:rsid w:val="002A5BC9"/>
    <w:rsid w:val="002E483E"/>
    <w:rsid w:val="00346CFD"/>
    <w:rsid w:val="00352EC9"/>
    <w:rsid w:val="003C59EA"/>
    <w:rsid w:val="0041620B"/>
    <w:rsid w:val="00434DF9"/>
    <w:rsid w:val="00485ACB"/>
    <w:rsid w:val="004D09CC"/>
    <w:rsid w:val="004E215B"/>
    <w:rsid w:val="004F73CB"/>
    <w:rsid w:val="00540A24"/>
    <w:rsid w:val="005445E5"/>
    <w:rsid w:val="00550E5F"/>
    <w:rsid w:val="00574A4C"/>
    <w:rsid w:val="0058591F"/>
    <w:rsid w:val="00595B68"/>
    <w:rsid w:val="005C0C24"/>
    <w:rsid w:val="005D4B8B"/>
    <w:rsid w:val="005F4154"/>
    <w:rsid w:val="0060457A"/>
    <w:rsid w:val="00687128"/>
    <w:rsid w:val="0069090B"/>
    <w:rsid w:val="006B16C1"/>
    <w:rsid w:val="006C1C40"/>
    <w:rsid w:val="00700F49"/>
    <w:rsid w:val="00733B93"/>
    <w:rsid w:val="0076661D"/>
    <w:rsid w:val="00773802"/>
    <w:rsid w:val="007875A6"/>
    <w:rsid w:val="007A5055"/>
    <w:rsid w:val="008234DF"/>
    <w:rsid w:val="008429D4"/>
    <w:rsid w:val="008569EE"/>
    <w:rsid w:val="00885A35"/>
    <w:rsid w:val="00895C7C"/>
    <w:rsid w:val="008A40EB"/>
    <w:rsid w:val="008C392A"/>
    <w:rsid w:val="008D0323"/>
    <w:rsid w:val="008E7A45"/>
    <w:rsid w:val="009705EF"/>
    <w:rsid w:val="00980303"/>
    <w:rsid w:val="009A095E"/>
    <w:rsid w:val="009C0F04"/>
    <w:rsid w:val="009D529B"/>
    <w:rsid w:val="009E20AF"/>
    <w:rsid w:val="009F0528"/>
    <w:rsid w:val="00A762D5"/>
    <w:rsid w:val="00AC1EB6"/>
    <w:rsid w:val="00B318F5"/>
    <w:rsid w:val="00B4215B"/>
    <w:rsid w:val="00BA2C38"/>
    <w:rsid w:val="00C273AE"/>
    <w:rsid w:val="00C72755"/>
    <w:rsid w:val="00C83DD2"/>
    <w:rsid w:val="00CA36C2"/>
    <w:rsid w:val="00CD20B0"/>
    <w:rsid w:val="00CD23CF"/>
    <w:rsid w:val="00CD3B96"/>
    <w:rsid w:val="00CE1B8F"/>
    <w:rsid w:val="00CF4691"/>
    <w:rsid w:val="00D0634C"/>
    <w:rsid w:val="00D637A0"/>
    <w:rsid w:val="00D63F9F"/>
    <w:rsid w:val="00DA010B"/>
    <w:rsid w:val="00DA773E"/>
    <w:rsid w:val="00DC68F9"/>
    <w:rsid w:val="00DD66A2"/>
    <w:rsid w:val="00E03645"/>
    <w:rsid w:val="00E05CFB"/>
    <w:rsid w:val="00E123EE"/>
    <w:rsid w:val="00E36481"/>
    <w:rsid w:val="00E62397"/>
    <w:rsid w:val="00EF22D0"/>
    <w:rsid w:val="00F21A03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0CC4DF-3471-462B-8909-2DA15E8B43FA}"/>
</file>

<file path=customXml/itemProps2.xml><?xml version="1.0" encoding="utf-8"?>
<ds:datastoreItem xmlns:ds="http://schemas.openxmlformats.org/officeDocument/2006/customXml" ds:itemID="{AB4AD07F-0EDF-4499-A1AC-E70B194BCECC}"/>
</file>

<file path=customXml/itemProps3.xml><?xml version="1.0" encoding="utf-8"?>
<ds:datastoreItem xmlns:ds="http://schemas.openxmlformats.org/officeDocument/2006/customXml" ds:itemID="{35E6BF4D-EC0B-4799-A4AF-C8455DCB6B11}"/>
</file>

<file path=customXml/itemProps4.xml><?xml version="1.0" encoding="utf-8"?>
<ds:datastoreItem xmlns:ds="http://schemas.openxmlformats.org/officeDocument/2006/customXml" ds:itemID="{8C7D5C06-3C62-4CD9-BAE3-864EADC8E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52</cp:revision>
  <cp:lastPrinted>2018-07-31T10:12:00Z</cp:lastPrinted>
  <dcterms:created xsi:type="dcterms:W3CDTF">2018-07-19T04:24:00Z</dcterms:created>
  <dcterms:modified xsi:type="dcterms:W3CDTF">2018-07-31T11:02:00Z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