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8" w:rsidRPr="006635A0" w:rsidRDefault="00A36B98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35A0">
        <w:rPr>
          <w:b/>
          <w:bCs/>
          <w:sz w:val="26"/>
          <w:szCs w:val="26"/>
        </w:rPr>
        <w:t>ИНФОРМАЦИОННОЕ ИЗВЕЩЕНИЕ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35A0">
        <w:rPr>
          <w:b/>
          <w:bCs/>
          <w:sz w:val="26"/>
          <w:szCs w:val="26"/>
        </w:rPr>
        <w:t>о проведении отбора подрядных организаций</w:t>
      </w:r>
      <w:r w:rsidRPr="006635A0">
        <w:rPr>
          <w:b/>
          <w:sz w:val="26"/>
          <w:szCs w:val="26"/>
        </w:rPr>
        <w:t xml:space="preserve"> для выполнения работ по благоустройству дворовых территорий многоквартирных домов г. Красноярска</w:t>
      </w:r>
    </w:p>
    <w:p w:rsidR="006635A0" w:rsidRDefault="006635A0" w:rsidP="006635A0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1C20" w:rsidRPr="006635A0" w:rsidRDefault="00571C20" w:rsidP="006635A0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Заказчик в лице:</w:t>
      </w:r>
      <w:r w:rsidR="006635A0">
        <w:rPr>
          <w:sz w:val="26"/>
          <w:szCs w:val="26"/>
        </w:rPr>
        <w:t xml:space="preserve"> </w:t>
      </w:r>
      <w:r w:rsidRPr="006635A0">
        <w:rPr>
          <w:sz w:val="26"/>
          <w:szCs w:val="26"/>
        </w:rPr>
        <w:t>ТСЖ</w:t>
      </w:r>
      <w:r w:rsidR="00832F6F" w:rsidRPr="006635A0">
        <w:rPr>
          <w:sz w:val="26"/>
          <w:szCs w:val="26"/>
        </w:rPr>
        <w:t xml:space="preserve"> “</w:t>
      </w:r>
      <w:r w:rsidRPr="006635A0">
        <w:rPr>
          <w:sz w:val="26"/>
          <w:szCs w:val="26"/>
        </w:rPr>
        <w:t>Радость</w:t>
      </w:r>
      <w:r w:rsidR="00832F6F" w:rsidRPr="006635A0">
        <w:rPr>
          <w:sz w:val="26"/>
          <w:szCs w:val="26"/>
        </w:rPr>
        <w:t>”</w:t>
      </w:r>
      <w:r w:rsidRPr="006635A0">
        <w:rPr>
          <w:sz w:val="26"/>
          <w:szCs w:val="26"/>
        </w:rPr>
        <w:t xml:space="preserve">: почтовый, юридический и фактический адрес: 660135, г. </w:t>
      </w:r>
      <w:proofErr w:type="gramStart"/>
      <w:r w:rsidRPr="006635A0">
        <w:rPr>
          <w:sz w:val="26"/>
          <w:szCs w:val="26"/>
        </w:rPr>
        <w:t>Красноярск, ул. Взлетная</w:t>
      </w:r>
      <w:r w:rsidR="00A36B98" w:rsidRPr="006635A0">
        <w:rPr>
          <w:sz w:val="26"/>
          <w:szCs w:val="26"/>
        </w:rPr>
        <w:t>, д. 8, телефон</w:t>
      </w:r>
      <w:r w:rsidRPr="006635A0">
        <w:rPr>
          <w:sz w:val="26"/>
          <w:szCs w:val="26"/>
        </w:rPr>
        <w:t xml:space="preserve"> 2</w:t>
      </w:r>
      <w:r w:rsidR="00A36B98" w:rsidRPr="006635A0">
        <w:rPr>
          <w:sz w:val="26"/>
          <w:szCs w:val="26"/>
        </w:rPr>
        <w:t>-</w:t>
      </w:r>
      <w:r w:rsidRPr="006635A0">
        <w:rPr>
          <w:sz w:val="26"/>
          <w:szCs w:val="26"/>
        </w:rPr>
        <w:t>287</w:t>
      </w:r>
      <w:r w:rsidR="00A36B98" w:rsidRPr="006635A0">
        <w:rPr>
          <w:sz w:val="26"/>
          <w:szCs w:val="26"/>
        </w:rPr>
        <w:t>-</w:t>
      </w:r>
      <w:r w:rsidRPr="006635A0">
        <w:rPr>
          <w:sz w:val="26"/>
          <w:szCs w:val="26"/>
        </w:rPr>
        <w:t>006 (дополнительную информацию о порядке проведения отбора и выполняемых работах можно получить в правлении ТСЖ</w:t>
      </w:r>
      <w:r w:rsidR="00832F6F" w:rsidRPr="006635A0">
        <w:rPr>
          <w:sz w:val="26"/>
          <w:szCs w:val="26"/>
        </w:rPr>
        <w:t xml:space="preserve"> “</w:t>
      </w:r>
      <w:r w:rsidRPr="006635A0">
        <w:rPr>
          <w:sz w:val="26"/>
          <w:szCs w:val="26"/>
        </w:rPr>
        <w:t>Радость</w:t>
      </w:r>
      <w:r w:rsidR="00832F6F" w:rsidRPr="006635A0">
        <w:rPr>
          <w:sz w:val="26"/>
          <w:szCs w:val="26"/>
        </w:rPr>
        <w:t>”</w:t>
      </w:r>
      <w:r w:rsidRPr="006635A0">
        <w:rPr>
          <w:sz w:val="26"/>
          <w:szCs w:val="26"/>
        </w:rPr>
        <w:t xml:space="preserve"> по указанному в</w:t>
      </w:r>
      <w:r w:rsidR="00A36B98" w:rsidRPr="006635A0">
        <w:rPr>
          <w:sz w:val="26"/>
          <w:szCs w:val="26"/>
        </w:rPr>
        <w:t>ыше адресу, а также по телефону</w:t>
      </w:r>
      <w:r w:rsidRPr="006635A0">
        <w:rPr>
          <w:sz w:val="26"/>
          <w:szCs w:val="26"/>
        </w:rPr>
        <w:t xml:space="preserve"> 8-902-960-9423 в рабочие дни с 8.00 до 15.00 (перерыв на обед с 12.00 до 12.45, в пятницу с 8.00 до 14.00)</w:t>
      </w:r>
      <w:r w:rsidR="00A36B98" w:rsidRPr="006635A0">
        <w:rPr>
          <w:sz w:val="26"/>
          <w:szCs w:val="26"/>
        </w:rPr>
        <w:t>;</w:t>
      </w:r>
      <w:proofErr w:type="gramEnd"/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635A0">
        <w:rPr>
          <w:sz w:val="26"/>
          <w:szCs w:val="26"/>
        </w:rPr>
        <w:t>проводит отбор подрядных организаций для работ по благоустройству дворовой т</w:t>
      </w:r>
      <w:r w:rsidR="00A36B98" w:rsidRPr="006635A0">
        <w:rPr>
          <w:sz w:val="26"/>
          <w:szCs w:val="26"/>
        </w:rPr>
        <w:t xml:space="preserve">ерритории многоквартирных домов: детской площадки МКД — </w:t>
      </w:r>
      <w:r w:rsidRPr="006635A0">
        <w:rPr>
          <w:sz w:val="26"/>
          <w:szCs w:val="26"/>
        </w:rPr>
        <w:t>Взлетная</w:t>
      </w:r>
      <w:r w:rsidR="00A36B98" w:rsidRPr="006635A0">
        <w:rPr>
          <w:sz w:val="26"/>
          <w:szCs w:val="26"/>
        </w:rPr>
        <w:t>,</w:t>
      </w:r>
      <w:r w:rsidRPr="006635A0">
        <w:rPr>
          <w:sz w:val="26"/>
          <w:szCs w:val="26"/>
        </w:rPr>
        <w:t xml:space="preserve"> 8 и 10, в соответствии с </w:t>
      </w:r>
      <w:r w:rsidR="00A36B98" w:rsidRPr="006635A0">
        <w:rPr>
          <w:sz w:val="26"/>
          <w:szCs w:val="26"/>
        </w:rPr>
        <w:t>п</w:t>
      </w:r>
      <w:r w:rsidRPr="006635A0">
        <w:rPr>
          <w:sz w:val="26"/>
          <w:szCs w:val="26"/>
        </w:rPr>
        <w:t xml:space="preserve">остановлением </w:t>
      </w:r>
      <w:r w:rsidR="00A36B98" w:rsidRPr="006635A0">
        <w:rPr>
          <w:sz w:val="26"/>
          <w:szCs w:val="26"/>
        </w:rPr>
        <w:t>а</w:t>
      </w:r>
      <w:r w:rsidRPr="006635A0">
        <w:rPr>
          <w:sz w:val="26"/>
          <w:szCs w:val="26"/>
        </w:rPr>
        <w:t>дминистрации г. Красноярска от 16.03.2018 г. № 161</w:t>
      </w:r>
      <w:r w:rsidR="00832F6F" w:rsidRPr="006635A0">
        <w:rPr>
          <w:sz w:val="26"/>
          <w:szCs w:val="26"/>
        </w:rPr>
        <w:t xml:space="preserve"> “</w:t>
      </w:r>
      <w:r w:rsidRPr="006635A0">
        <w:rPr>
          <w:sz w:val="26"/>
          <w:szCs w:val="26"/>
        </w:rPr>
        <w:t>О порядке предоставления субсидии из бюджета города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</w:t>
      </w:r>
      <w:r w:rsidR="00832F6F" w:rsidRPr="006635A0">
        <w:rPr>
          <w:sz w:val="26"/>
          <w:szCs w:val="26"/>
        </w:rPr>
        <w:t>”</w:t>
      </w:r>
      <w:r w:rsidRPr="006635A0">
        <w:rPr>
          <w:sz w:val="26"/>
          <w:szCs w:val="26"/>
        </w:rPr>
        <w:t xml:space="preserve"> и </w:t>
      </w:r>
      <w:r w:rsidR="00A36B98" w:rsidRPr="006635A0">
        <w:rPr>
          <w:sz w:val="26"/>
          <w:szCs w:val="26"/>
        </w:rPr>
        <w:t>распоряжением</w:t>
      </w:r>
      <w:proofErr w:type="gramEnd"/>
      <w:r w:rsidR="00A36B98" w:rsidRPr="006635A0">
        <w:rPr>
          <w:sz w:val="26"/>
          <w:szCs w:val="26"/>
        </w:rPr>
        <w:t xml:space="preserve"> а</w:t>
      </w:r>
      <w:r w:rsidRPr="006635A0">
        <w:rPr>
          <w:sz w:val="26"/>
          <w:szCs w:val="26"/>
        </w:rPr>
        <w:t>дминистрации г. Красноярска от 26.03.2019</w:t>
      </w:r>
      <w:r w:rsidR="00A36B98" w:rsidRPr="006635A0">
        <w:rPr>
          <w:sz w:val="26"/>
          <w:szCs w:val="26"/>
        </w:rPr>
        <w:t xml:space="preserve"> </w:t>
      </w:r>
      <w:r w:rsidRPr="006635A0">
        <w:rPr>
          <w:sz w:val="26"/>
          <w:szCs w:val="26"/>
        </w:rPr>
        <w:t>г. № 35-гх</w:t>
      </w:r>
      <w:r w:rsidR="00832F6F" w:rsidRPr="006635A0">
        <w:rPr>
          <w:sz w:val="26"/>
          <w:szCs w:val="26"/>
        </w:rPr>
        <w:t xml:space="preserve"> “</w:t>
      </w:r>
      <w:r w:rsidRPr="006635A0">
        <w:rPr>
          <w:sz w:val="26"/>
          <w:szCs w:val="26"/>
        </w:rPr>
        <w:t>О порядке привлечения подрядных организаций для выполнения работ по благоустройству дворовых территорий многоквартирных домов</w:t>
      </w:r>
      <w:r w:rsidR="00832F6F" w:rsidRPr="006635A0">
        <w:rPr>
          <w:sz w:val="26"/>
          <w:szCs w:val="26"/>
        </w:rPr>
        <w:t>”</w:t>
      </w:r>
      <w:r w:rsidRPr="006635A0">
        <w:rPr>
          <w:sz w:val="26"/>
          <w:szCs w:val="26"/>
        </w:rPr>
        <w:t>.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1. </w:t>
      </w:r>
      <w:proofErr w:type="gramStart"/>
      <w:r w:rsidRPr="006635A0">
        <w:rPr>
          <w:sz w:val="26"/>
          <w:szCs w:val="26"/>
        </w:rPr>
        <w:t>Подрядные организации, желающие принять участие в отборе, должны направить свои предложения для отбора (в запечатанном конверте, на котором должно быть написано только наименование подрядной организации и ИНН, документы должны быть прошиты и заверены руководителем подрядной организации, листы пронумерованы), по вышеуказанному адресу, в рабочие дни (согласно графику работы ТСЖ</w:t>
      </w:r>
      <w:r w:rsidR="00832F6F" w:rsidRPr="006635A0">
        <w:rPr>
          <w:sz w:val="26"/>
          <w:szCs w:val="26"/>
        </w:rPr>
        <w:t xml:space="preserve"> “</w:t>
      </w:r>
      <w:r w:rsidRPr="006635A0">
        <w:rPr>
          <w:sz w:val="26"/>
          <w:szCs w:val="26"/>
        </w:rPr>
        <w:t>Радость</w:t>
      </w:r>
      <w:r w:rsidR="00832F6F" w:rsidRPr="006635A0">
        <w:rPr>
          <w:sz w:val="26"/>
          <w:szCs w:val="26"/>
        </w:rPr>
        <w:t>”</w:t>
      </w:r>
      <w:r w:rsidRPr="006635A0">
        <w:rPr>
          <w:sz w:val="26"/>
          <w:szCs w:val="26"/>
        </w:rPr>
        <w:t>).</w:t>
      </w:r>
      <w:proofErr w:type="gramEnd"/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Срок подачи подрядными организациями предложений о выполнении ремонтных работ: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Начало срока подачи предложений </w:t>
      </w:r>
      <w:r w:rsidR="00A36B98" w:rsidRPr="006635A0">
        <w:rPr>
          <w:sz w:val="26"/>
          <w:szCs w:val="26"/>
        </w:rPr>
        <w:t xml:space="preserve">— </w:t>
      </w:r>
      <w:r w:rsidRPr="006635A0">
        <w:rPr>
          <w:sz w:val="26"/>
          <w:szCs w:val="26"/>
        </w:rPr>
        <w:t>25.03.2020</w:t>
      </w:r>
      <w:r w:rsidR="00A36B98" w:rsidRPr="006635A0">
        <w:rPr>
          <w:sz w:val="26"/>
          <w:szCs w:val="26"/>
        </w:rPr>
        <w:t xml:space="preserve"> </w:t>
      </w:r>
      <w:r w:rsidRPr="006635A0">
        <w:rPr>
          <w:sz w:val="26"/>
          <w:szCs w:val="26"/>
        </w:rPr>
        <w:t>г. 08 часов 00 минут.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Окончание срока подачи предложений </w:t>
      </w:r>
      <w:r w:rsidR="00A36B98" w:rsidRPr="006635A0">
        <w:rPr>
          <w:sz w:val="26"/>
          <w:szCs w:val="26"/>
        </w:rPr>
        <w:t xml:space="preserve">— </w:t>
      </w:r>
      <w:r w:rsidRPr="006635A0">
        <w:rPr>
          <w:sz w:val="26"/>
          <w:szCs w:val="26"/>
        </w:rPr>
        <w:t>29.03.2020</w:t>
      </w:r>
      <w:r w:rsidR="00A36B98" w:rsidRPr="006635A0">
        <w:rPr>
          <w:sz w:val="26"/>
          <w:szCs w:val="26"/>
        </w:rPr>
        <w:t xml:space="preserve"> г. 15 часов 00 минут.</w:t>
      </w:r>
    </w:p>
    <w:p w:rsidR="00571C20" w:rsidRPr="006635A0" w:rsidRDefault="00571C20" w:rsidP="00403722">
      <w:pPr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Нарочно прием заявок осуществляется (660135, г. Красноярск, ул. </w:t>
      </w:r>
      <w:proofErr w:type="gramStart"/>
      <w:r w:rsidRPr="006635A0">
        <w:rPr>
          <w:sz w:val="26"/>
          <w:szCs w:val="26"/>
        </w:rPr>
        <w:t>Взлетная</w:t>
      </w:r>
      <w:proofErr w:type="gramEnd"/>
      <w:r w:rsidRPr="006635A0">
        <w:rPr>
          <w:sz w:val="26"/>
          <w:szCs w:val="26"/>
        </w:rPr>
        <w:t>, д.</w:t>
      </w:r>
      <w:r w:rsidR="00A36B98" w:rsidRPr="006635A0">
        <w:rPr>
          <w:sz w:val="26"/>
          <w:szCs w:val="26"/>
        </w:rPr>
        <w:t xml:space="preserve"> </w:t>
      </w:r>
      <w:r w:rsidRPr="006635A0">
        <w:rPr>
          <w:sz w:val="26"/>
          <w:szCs w:val="26"/>
        </w:rPr>
        <w:t>8</w:t>
      </w:r>
      <w:r w:rsidR="00832F6F" w:rsidRPr="006635A0">
        <w:rPr>
          <w:sz w:val="26"/>
          <w:szCs w:val="26"/>
        </w:rPr>
        <w:t>)</w:t>
      </w:r>
      <w:r w:rsidRPr="006635A0">
        <w:rPr>
          <w:sz w:val="26"/>
          <w:szCs w:val="26"/>
        </w:rPr>
        <w:t xml:space="preserve">: с 08.00 часов 25.03.2020 до 15.00 часов </w:t>
      </w:r>
      <w:r w:rsidR="00A36B98" w:rsidRPr="006635A0">
        <w:rPr>
          <w:sz w:val="26"/>
          <w:szCs w:val="26"/>
        </w:rPr>
        <w:t>29.03.2020.</w:t>
      </w:r>
    </w:p>
    <w:p w:rsidR="006635A0" w:rsidRPr="006635A0" w:rsidRDefault="00571C20" w:rsidP="006635A0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35A0">
        <w:rPr>
          <w:rFonts w:ascii="Times New Roman" w:hAnsi="Times New Roman" w:cs="Times New Roman"/>
          <w:sz w:val="26"/>
          <w:szCs w:val="26"/>
        </w:rPr>
        <w:t>Подрядные организации могут ознакомиться с проектом договора и локальными сметами на заявляемый вид работ в ТСЖ</w:t>
      </w:r>
      <w:r w:rsidR="00832F6F" w:rsidRPr="006635A0">
        <w:rPr>
          <w:rFonts w:ascii="Times New Roman" w:hAnsi="Times New Roman" w:cs="Times New Roman"/>
          <w:sz w:val="26"/>
          <w:szCs w:val="26"/>
        </w:rPr>
        <w:t xml:space="preserve"> “</w:t>
      </w:r>
      <w:r w:rsidRPr="006635A0">
        <w:rPr>
          <w:rFonts w:ascii="Times New Roman" w:hAnsi="Times New Roman" w:cs="Times New Roman"/>
          <w:sz w:val="26"/>
          <w:szCs w:val="26"/>
        </w:rPr>
        <w:t>Радость</w:t>
      </w:r>
      <w:r w:rsidR="00832F6F" w:rsidRPr="006635A0">
        <w:rPr>
          <w:rFonts w:ascii="Times New Roman" w:hAnsi="Times New Roman" w:cs="Times New Roman"/>
          <w:sz w:val="26"/>
          <w:szCs w:val="26"/>
        </w:rPr>
        <w:t>”</w:t>
      </w:r>
      <w:r w:rsidRPr="006635A0">
        <w:rPr>
          <w:rFonts w:ascii="Times New Roman" w:hAnsi="Times New Roman" w:cs="Times New Roman"/>
          <w:sz w:val="26"/>
          <w:szCs w:val="26"/>
        </w:rPr>
        <w:t xml:space="preserve"> по вышеуказанному адресу и по телефона</w:t>
      </w:r>
      <w:r w:rsidR="00A36B98" w:rsidRPr="006635A0">
        <w:rPr>
          <w:rFonts w:ascii="Times New Roman" w:hAnsi="Times New Roman" w:cs="Times New Roman"/>
          <w:sz w:val="26"/>
          <w:szCs w:val="26"/>
        </w:rPr>
        <w:t>м в указанные дни приема заявок</w:t>
      </w:r>
      <w:r w:rsidRPr="006635A0">
        <w:rPr>
          <w:rFonts w:ascii="Times New Roman" w:hAnsi="Times New Roman" w:cs="Times New Roman"/>
          <w:sz w:val="26"/>
          <w:szCs w:val="26"/>
        </w:rPr>
        <w:t>, а также на сайте администрации города (</w:t>
      </w:r>
      <w:hyperlink r:id="rId7" w:history="1">
        <w:r w:rsidR="00403722" w:rsidRPr="006635A0">
          <w:rPr>
            <w:rStyle w:val="ab"/>
            <w:rFonts w:ascii="Times New Roman" w:hAnsi="Times New Roman"/>
            <w:sz w:val="26"/>
            <w:szCs w:val="26"/>
          </w:rPr>
          <w:t>www.admkrsk.ru</w:t>
        </w:r>
      </w:hyperlink>
      <w:r w:rsidRPr="006635A0">
        <w:rPr>
          <w:rFonts w:ascii="Times New Roman" w:hAnsi="Times New Roman" w:cs="Times New Roman"/>
          <w:sz w:val="26"/>
          <w:szCs w:val="26"/>
        </w:rPr>
        <w:t>) в разделе</w:t>
      </w:r>
      <w:r w:rsidR="00832F6F" w:rsidRPr="006635A0">
        <w:rPr>
          <w:rFonts w:ascii="Times New Roman" w:hAnsi="Times New Roman" w:cs="Times New Roman"/>
          <w:sz w:val="26"/>
          <w:szCs w:val="26"/>
        </w:rPr>
        <w:t xml:space="preserve"> “</w:t>
      </w:r>
      <w:r w:rsidRPr="006635A0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="00832F6F" w:rsidRPr="006635A0">
        <w:rPr>
          <w:rFonts w:ascii="Times New Roman" w:hAnsi="Times New Roman" w:cs="Times New Roman"/>
          <w:sz w:val="26"/>
          <w:szCs w:val="26"/>
        </w:rPr>
        <w:t>”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Заседание комиссии по отбору подрядных организаций проходит в помещениях администраций районов г. Красноярска.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2. Предложение подрядной организации должно содержать:</w:t>
      </w:r>
    </w:p>
    <w:p w:rsidR="00571C20" w:rsidRPr="006635A0" w:rsidRDefault="00832F6F" w:rsidP="00403722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наименование, сведения об организационно-правовой форме,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наличии), информаци</w:t>
      </w:r>
      <w:r w:rsidR="00A36B98" w:rsidRPr="006635A0">
        <w:rPr>
          <w:sz w:val="26"/>
          <w:szCs w:val="26"/>
        </w:rPr>
        <w:t>ю</w:t>
      </w:r>
      <w:r w:rsidR="00571C20" w:rsidRPr="006635A0">
        <w:rPr>
          <w:sz w:val="26"/>
          <w:szCs w:val="26"/>
        </w:rPr>
        <w:t>, указанн</w:t>
      </w:r>
      <w:r w:rsidR="00A36B98" w:rsidRPr="006635A0">
        <w:rPr>
          <w:sz w:val="26"/>
          <w:szCs w:val="26"/>
        </w:rPr>
        <w:t>ую</w:t>
      </w:r>
      <w:r w:rsidR="00571C20" w:rsidRPr="006635A0">
        <w:rPr>
          <w:sz w:val="26"/>
          <w:szCs w:val="26"/>
        </w:rPr>
        <w:t xml:space="preserve"> в п.</w:t>
      </w:r>
      <w:r w:rsidR="00A36B98" w:rsidRPr="006635A0">
        <w:rPr>
          <w:sz w:val="26"/>
          <w:szCs w:val="26"/>
        </w:rPr>
        <w:t xml:space="preserve"> </w:t>
      </w:r>
      <w:r w:rsidR="00571C20" w:rsidRPr="006635A0">
        <w:rPr>
          <w:sz w:val="26"/>
          <w:szCs w:val="26"/>
        </w:rPr>
        <w:t>3 настоящего извещения;</w:t>
      </w:r>
      <w:proofErr w:type="gramEnd"/>
    </w:p>
    <w:p w:rsidR="00571C20" w:rsidRPr="006635A0" w:rsidRDefault="00832F6F" w:rsidP="00403722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идентификационный номер налогоплательщика, справку об исполнении налогоплательщиком обязанности по уплате налогов, сборов, страховых взносов, пеней, штрафов, процентов на первое число месяца, предшествующего месяцу, в котором планируется отбор, выданную органом налоговой службы;</w:t>
      </w:r>
    </w:p>
    <w:p w:rsidR="00571C20" w:rsidRPr="006635A0" w:rsidRDefault="00832F6F" w:rsidP="00403722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выписк</w:t>
      </w:r>
      <w:r w:rsidR="00A36B98" w:rsidRPr="006635A0">
        <w:rPr>
          <w:sz w:val="26"/>
          <w:szCs w:val="26"/>
        </w:rPr>
        <w:t>у</w:t>
      </w:r>
      <w:r w:rsidR="00571C20" w:rsidRPr="006635A0">
        <w:rPr>
          <w:sz w:val="26"/>
          <w:szCs w:val="26"/>
        </w:rPr>
        <w:t xml:space="preserve"> из реестра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благоустройству со сроком действия до окончания договора на выполнение работ, заключаемого по итогам отбора, копию лицензии на транспортирование отходов </w:t>
      </w:r>
      <w:r w:rsidR="00571C20" w:rsidRPr="006635A0">
        <w:rPr>
          <w:sz w:val="26"/>
          <w:szCs w:val="26"/>
          <w:lang w:val="en-US"/>
        </w:rPr>
        <w:t>IV</w:t>
      </w:r>
      <w:r w:rsidR="00571C20" w:rsidRPr="006635A0">
        <w:rPr>
          <w:sz w:val="26"/>
          <w:szCs w:val="26"/>
        </w:rPr>
        <w:t xml:space="preserve"> класса опасности;</w:t>
      </w:r>
    </w:p>
    <w:p w:rsidR="00571C20" w:rsidRPr="006635A0" w:rsidRDefault="00832F6F" w:rsidP="00403722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571C20" w:rsidRPr="006635A0" w:rsidRDefault="00832F6F" w:rsidP="00403722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lastRenderedPageBreak/>
        <w:t xml:space="preserve">— </w:t>
      </w:r>
      <w:r w:rsidR="00571C20" w:rsidRPr="006635A0">
        <w:rPr>
          <w:sz w:val="26"/>
          <w:szCs w:val="26"/>
        </w:rPr>
        <w:t>информацию о сроке предоставления гарантии качества;</w:t>
      </w:r>
    </w:p>
    <w:p w:rsidR="00571C20" w:rsidRPr="006635A0" w:rsidRDefault="00832F6F" w:rsidP="00403722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proofErr w:type="gramStart"/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наличии специальной техники и механизмов, используемых в дорожной деятельности и имеющих отношение к проведению работ по благоустройству дворовых территорий 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</w:t>
      </w:r>
      <w:r w:rsidRPr="006635A0">
        <w:rPr>
          <w:sz w:val="26"/>
          <w:szCs w:val="26"/>
        </w:rPr>
        <w:t xml:space="preserve"> — </w:t>
      </w:r>
      <w:r w:rsidR="00571C20" w:rsidRPr="006635A0">
        <w:rPr>
          <w:sz w:val="26"/>
          <w:szCs w:val="26"/>
        </w:rPr>
        <w:t>свидетельства о регистрации транспортных средств, самоходных машин, тракторов и иной специальной техники, договоры аренды на специальную технику);</w:t>
      </w:r>
      <w:proofErr w:type="gramEnd"/>
    </w:p>
    <w:p w:rsidR="00571C20" w:rsidRPr="006635A0" w:rsidRDefault="00832F6F" w:rsidP="00403722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сотрудников рабочих специальностей, с приложением копии трудовых книжек);</w:t>
      </w:r>
    </w:p>
    <w:p w:rsidR="00571C20" w:rsidRPr="006635A0" w:rsidRDefault="00832F6F" w:rsidP="00403722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периоде осуществления дорожной деятельности, связанную с ремонтом дорог и благоустройством территорий;</w:t>
      </w:r>
    </w:p>
    <w:p w:rsidR="00571C20" w:rsidRPr="006635A0" w:rsidRDefault="00832F6F" w:rsidP="00403722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об объёмах выполненных организацией работ в рамках дорожной деятельности по ремонту дорог и благоустройству территорий за последние два года (копии договоров, акты выполненных работ, заверенная банком справка об оборотах по расчетным счетам, указанным в данных договорах за последние два года с разбивкой по месяцам);</w:t>
      </w:r>
    </w:p>
    <w:p w:rsidR="00571C20" w:rsidRPr="006635A0" w:rsidRDefault="00832F6F" w:rsidP="00403722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сроке выполнения работ по благоустройству дворовых территорий многоквартирных домов;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цене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наличии производственной базы (выписка из Единого государственного реестра недвижимости, договор аренды, безвозмездного пользования, иного вещного права);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наличии основных средств (заверенная бухгалтерская справка о наличии основных средств);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об отсутствии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том, что организация не находится в процессе реорганизации, ликвидации, банкротства, об отсутствии ограничений на отсутствие хозяйственной деятельности;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 том, что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включенных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571C20" w:rsidRPr="006635A0">
        <w:rPr>
          <w:sz w:val="26"/>
          <w:szCs w:val="26"/>
        </w:rPr>
        <w:t xml:space="preserve"> зоны) в </w:t>
      </w:r>
      <w:proofErr w:type="gramStart"/>
      <w:r w:rsidR="00571C20" w:rsidRPr="006635A0">
        <w:rPr>
          <w:sz w:val="26"/>
          <w:szCs w:val="26"/>
        </w:rPr>
        <w:t>отношении</w:t>
      </w:r>
      <w:proofErr w:type="gramEnd"/>
      <w:r w:rsidR="00571C20" w:rsidRPr="006635A0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 xml:space="preserve">информацию об отсутствии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</w:t>
      </w:r>
      <w:r w:rsidR="00A36B98" w:rsidRPr="006635A0">
        <w:rPr>
          <w:sz w:val="26"/>
          <w:szCs w:val="26"/>
        </w:rPr>
        <w:t>п</w:t>
      </w:r>
      <w:r w:rsidR="00571C20" w:rsidRPr="006635A0">
        <w:rPr>
          <w:sz w:val="26"/>
          <w:szCs w:val="26"/>
        </w:rPr>
        <w:t xml:space="preserve">равительства Российской Федерации от </w:t>
      </w:r>
      <w:r w:rsidR="00571C20" w:rsidRPr="006635A0">
        <w:rPr>
          <w:sz w:val="26"/>
          <w:szCs w:val="26"/>
        </w:rPr>
        <w:lastRenderedPageBreak/>
        <w:t>25.11.2013 №</w:t>
      </w:r>
      <w:r w:rsidR="00A36B98" w:rsidRPr="006635A0">
        <w:rPr>
          <w:sz w:val="26"/>
          <w:szCs w:val="26"/>
        </w:rPr>
        <w:t xml:space="preserve"> </w:t>
      </w:r>
      <w:r w:rsidR="00571C20" w:rsidRPr="006635A0">
        <w:rPr>
          <w:sz w:val="26"/>
          <w:szCs w:val="26"/>
        </w:rPr>
        <w:t>1062</w:t>
      </w:r>
      <w:r w:rsidRPr="006635A0">
        <w:rPr>
          <w:sz w:val="26"/>
          <w:szCs w:val="26"/>
        </w:rPr>
        <w:t xml:space="preserve"> “</w:t>
      </w:r>
      <w:r w:rsidR="00571C20" w:rsidRPr="006635A0">
        <w:rPr>
          <w:sz w:val="26"/>
          <w:szCs w:val="26"/>
        </w:rPr>
        <w:t>О порядке ведения реестра недобросовестных поставщиков (подрядчиков, исполнителей)</w:t>
      </w:r>
      <w:r w:rsidRPr="006635A0">
        <w:rPr>
          <w:sz w:val="26"/>
          <w:szCs w:val="26"/>
        </w:rPr>
        <w:t>”</w:t>
      </w:r>
      <w:r w:rsidR="00571C20" w:rsidRPr="006635A0">
        <w:rPr>
          <w:sz w:val="26"/>
          <w:szCs w:val="26"/>
        </w:rPr>
        <w:t>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информацию об отсутствии неурегулированных судебных споров</w:t>
      </w:r>
      <w:r w:rsidRPr="006635A0">
        <w:rPr>
          <w:sz w:val="26"/>
          <w:szCs w:val="26"/>
        </w:rPr>
        <w:t xml:space="preserve"> </w:t>
      </w:r>
      <w:r w:rsidR="00571C20" w:rsidRPr="006635A0">
        <w:rPr>
          <w:sz w:val="26"/>
          <w:szCs w:val="26"/>
        </w:rPr>
        <w:t>по поводу качества выполненных работ за последние три года, предшествующие дате подачи документов.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3. К отбору допускаются подрядные организации, соответствующие следующим требованиям, которым должны соответствовать на первое число месяца, предшествующего месяцу, в котором планируется заключение договора:</w:t>
      </w:r>
    </w:p>
    <w:p w:rsidR="00571C20" w:rsidRPr="006635A0" w:rsidRDefault="00832F6F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71C20" w:rsidRPr="006635A0" w:rsidRDefault="00832F6F" w:rsidP="0040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отсутствие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71C20" w:rsidRPr="006635A0" w:rsidRDefault="00832F6F" w:rsidP="0040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подрядные организации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571C20" w:rsidRPr="006635A0" w:rsidRDefault="00832F6F" w:rsidP="0040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6"/>
          <w:szCs w:val="26"/>
        </w:rPr>
      </w:pPr>
      <w:proofErr w:type="gramStart"/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подрядные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71C20" w:rsidRPr="006635A0">
        <w:rPr>
          <w:sz w:val="26"/>
          <w:szCs w:val="26"/>
        </w:rPr>
        <w:t xml:space="preserve">) в </w:t>
      </w:r>
      <w:proofErr w:type="gramStart"/>
      <w:r w:rsidR="00571C20" w:rsidRPr="006635A0">
        <w:rPr>
          <w:sz w:val="26"/>
          <w:szCs w:val="26"/>
        </w:rPr>
        <w:t>отношении</w:t>
      </w:r>
      <w:proofErr w:type="gramEnd"/>
      <w:r w:rsidR="00571C20" w:rsidRPr="006635A0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571C20" w:rsidRPr="006635A0" w:rsidRDefault="00832F6F" w:rsidP="0040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подрядные организации не должны быть включены в реестр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</w:t>
      </w:r>
      <w:r w:rsidRPr="006635A0">
        <w:rPr>
          <w:sz w:val="26"/>
          <w:szCs w:val="26"/>
        </w:rPr>
        <w:t xml:space="preserve"> “</w:t>
      </w:r>
      <w:r w:rsidR="00571C20" w:rsidRPr="006635A0">
        <w:rPr>
          <w:sz w:val="26"/>
          <w:szCs w:val="26"/>
        </w:rPr>
        <w:t>О порядке ведения реестра недобросовестных поставщиков (подрядчиков, исполнителей)</w:t>
      </w:r>
      <w:r w:rsidRPr="006635A0">
        <w:rPr>
          <w:sz w:val="26"/>
          <w:szCs w:val="26"/>
        </w:rPr>
        <w:t>”</w:t>
      </w:r>
      <w:r w:rsidR="00571C20" w:rsidRPr="006635A0">
        <w:rPr>
          <w:sz w:val="26"/>
          <w:szCs w:val="26"/>
        </w:rPr>
        <w:t>;</w:t>
      </w:r>
    </w:p>
    <w:p w:rsidR="00571C20" w:rsidRPr="006635A0" w:rsidRDefault="00832F6F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>наличие выписки из реестра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благоустройству со сроком действия до окончания договора на выполнение работ, заключаемого по итогам отбора:</w:t>
      </w:r>
    </w:p>
    <w:p w:rsidR="00571C20" w:rsidRPr="006635A0" w:rsidRDefault="00571C20" w:rsidP="00403722">
      <w:pPr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4. Комиссия в течение пятнадцати рабочих дней, следующих за днем получения заявок и журнала регистрации участников от Заказчика, осуществляет:</w:t>
      </w:r>
    </w:p>
    <w:p w:rsidR="00571C20" w:rsidRPr="006635A0" w:rsidRDefault="00832F6F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 xml:space="preserve">оценку соответствия подрядных организаций требованиям, установленным к организациям, привлекаемым для выполнения работ по </w:t>
      </w:r>
      <w:r w:rsidR="00571C20" w:rsidRPr="006635A0">
        <w:rPr>
          <w:bCs/>
          <w:sz w:val="26"/>
          <w:szCs w:val="26"/>
        </w:rPr>
        <w:t>благоустройству</w:t>
      </w:r>
      <w:r w:rsidR="00571C20" w:rsidRPr="006635A0">
        <w:rPr>
          <w:sz w:val="26"/>
          <w:szCs w:val="26"/>
        </w:rPr>
        <w:t xml:space="preserve"> дворовых территорий многоквартирных домов;</w:t>
      </w:r>
    </w:p>
    <w:p w:rsidR="00571C20" w:rsidRPr="006635A0" w:rsidRDefault="00832F6F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 xml:space="preserve">рассмотрение, оценку и сопоставление предложений подрядных организаций о проведении </w:t>
      </w:r>
      <w:r w:rsidR="00571C20" w:rsidRPr="006635A0">
        <w:rPr>
          <w:bCs/>
          <w:sz w:val="26"/>
          <w:szCs w:val="26"/>
        </w:rPr>
        <w:t>благоустройства</w:t>
      </w:r>
      <w:r w:rsidR="00571C20" w:rsidRPr="006635A0">
        <w:rPr>
          <w:sz w:val="26"/>
          <w:szCs w:val="26"/>
        </w:rPr>
        <w:t xml:space="preserve"> дворовых территорий многоквартирных домов;</w:t>
      </w:r>
    </w:p>
    <w:p w:rsidR="00571C20" w:rsidRPr="006635A0" w:rsidRDefault="00832F6F" w:rsidP="00403722">
      <w:pPr>
        <w:tabs>
          <w:tab w:val="left" w:pos="90"/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— </w:t>
      </w:r>
      <w:r w:rsidR="00571C20" w:rsidRPr="006635A0">
        <w:rPr>
          <w:sz w:val="26"/>
          <w:szCs w:val="26"/>
        </w:rPr>
        <w:t xml:space="preserve">отбор организации, предложившей лучшие условия исполнения договора выполнения работ по </w:t>
      </w:r>
      <w:r w:rsidR="00571C20" w:rsidRPr="006635A0">
        <w:rPr>
          <w:bCs/>
          <w:sz w:val="26"/>
          <w:szCs w:val="26"/>
        </w:rPr>
        <w:t>благоустройству</w:t>
      </w:r>
      <w:r w:rsidR="00571C20" w:rsidRPr="006635A0">
        <w:rPr>
          <w:sz w:val="26"/>
          <w:szCs w:val="26"/>
        </w:rPr>
        <w:t xml:space="preserve"> дворовых территорий многоквартирных домов (далее</w:t>
      </w:r>
      <w:r w:rsidRPr="006635A0">
        <w:rPr>
          <w:sz w:val="26"/>
          <w:szCs w:val="26"/>
        </w:rPr>
        <w:t xml:space="preserve"> — </w:t>
      </w:r>
      <w:r w:rsidR="00571C20" w:rsidRPr="006635A0">
        <w:rPr>
          <w:sz w:val="26"/>
          <w:szCs w:val="26"/>
        </w:rPr>
        <w:t>Договор) и имеющей наиболее высокие квалификационные показатели.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Комиссия не рассматривает и отклоняет предложения подрядных организаций по благоустройству дворовой территории, если: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1) предложение подрядной организации не соответствует требованиям, установленным в настоящем извещении и требованиям установленным Распоряжением Администрации г. Красноярска от 26.03.2019</w:t>
      </w:r>
      <w:r w:rsidR="00A36B98" w:rsidRPr="006635A0">
        <w:rPr>
          <w:sz w:val="26"/>
          <w:szCs w:val="26"/>
        </w:rPr>
        <w:t xml:space="preserve"> </w:t>
      </w:r>
      <w:r w:rsidRPr="006635A0">
        <w:rPr>
          <w:sz w:val="26"/>
          <w:szCs w:val="26"/>
        </w:rPr>
        <w:t>г. № 35-гх;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lastRenderedPageBreak/>
        <w:t xml:space="preserve">2) содержащаяся в </w:t>
      </w:r>
      <w:proofErr w:type="gramStart"/>
      <w:r w:rsidRPr="006635A0">
        <w:rPr>
          <w:sz w:val="26"/>
          <w:szCs w:val="26"/>
        </w:rPr>
        <w:t>предложении</w:t>
      </w:r>
      <w:proofErr w:type="gramEnd"/>
      <w:r w:rsidRPr="006635A0">
        <w:rPr>
          <w:sz w:val="26"/>
          <w:szCs w:val="26"/>
        </w:rPr>
        <w:t xml:space="preserve"> цена Договора относительно каждого лота в отдельности по каждой дворовой территории превышает максимальную цену, указанную в извещении о проведении отбора;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3) предложение подрядной организации подано с нарушением сроков и места подачи, указанных в настоящем извещении.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Для определения лучших условий исполнения Договора, содержащихся в </w:t>
      </w:r>
      <w:proofErr w:type="gramStart"/>
      <w:r w:rsidRPr="006635A0">
        <w:rPr>
          <w:sz w:val="26"/>
          <w:szCs w:val="26"/>
        </w:rPr>
        <w:t>предложениях</w:t>
      </w:r>
      <w:proofErr w:type="gramEnd"/>
      <w:r w:rsidRPr="006635A0">
        <w:rPr>
          <w:sz w:val="26"/>
          <w:szCs w:val="26"/>
        </w:rPr>
        <w:t xml:space="preserve"> подрядных организаций, Комиссия оценивает и сопоставляет предложения в два этапа.</w:t>
      </w:r>
    </w:p>
    <w:p w:rsidR="00571C20" w:rsidRPr="006635A0" w:rsidRDefault="00571C20" w:rsidP="0040372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635A0">
        <w:rPr>
          <w:rFonts w:ascii="Times New Roman" w:hAnsi="Times New Roman"/>
          <w:sz w:val="26"/>
          <w:szCs w:val="26"/>
        </w:rPr>
        <w:t>Первый этап:</w:t>
      </w:r>
    </w:p>
    <w:p w:rsidR="00571C20" w:rsidRPr="006635A0" w:rsidRDefault="00571C20" w:rsidP="00403722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635A0">
        <w:rPr>
          <w:rFonts w:ascii="Times New Roman" w:hAnsi="Times New Roman"/>
          <w:sz w:val="26"/>
          <w:szCs w:val="26"/>
        </w:rPr>
        <w:t xml:space="preserve">для определения лучших условий исполнения Договора, содержащихся в </w:t>
      </w:r>
      <w:proofErr w:type="gramStart"/>
      <w:r w:rsidRPr="006635A0">
        <w:rPr>
          <w:rFonts w:ascii="Times New Roman" w:hAnsi="Times New Roman"/>
          <w:sz w:val="26"/>
          <w:szCs w:val="26"/>
        </w:rPr>
        <w:t>предложениях</w:t>
      </w:r>
      <w:proofErr w:type="gramEnd"/>
      <w:r w:rsidRPr="006635A0">
        <w:rPr>
          <w:rFonts w:ascii="Times New Roman" w:hAnsi="Times New Roman"/>
          <w:sz w:val="26"/>
          <w:szCs w:val="26"/>
        </w:rPr>
        <w:t xml:space="preserve"> подрядных организаций, Комиссия оценивает и сопоставляет такие предложения </w:t>
      </w:r>
      <w:r w:rsidRPr="006635A0">
        <w:rPr>
          <w:rFonts w:ascii="Times New Roman" w:hAnsi="Times New Roman"/>
          <w:b/>
          <w:sz w:val="26"/>
          <w:szCs w:val="26"/>
        </w:rPr>
        <w:t>исходя из следующих критериев:</w:t>
      </w:r>
    </w:p>
    <w:tbl>
      <w:tblPr>
        <w:tblW w:w="9693" w:type="dxa"/>
        <w:jc w:val="center"/>
        <w:tblInd w:w="-2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6"/>
        <w:gridCol w:w="4748"/>
        <w:gridCol w:w="1579"/>
      </w:tblGrid>
      <w:tr w:rsidR="00571C20" w:rsidRPr="00403722" w:rsidTr="006635A0">
        <w:trPr>
          <w:trHeight w:val="20"/>
          <w:jc w:val="center"/>
        </w:trPr>
        <w:tc>
          <w:tcPr>
            <w:tcW w:w="3366" w:type="dxa"/>
            <w:vAlign w:val="center"/>
            <w:hideMark/>
          </w:tcPr>
          <w:p w:rsidR="00571C20" w:rsidRPr="006635A0" w:rsidRDefault="00571C20" w:rsidP="006635A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5A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748" w:type="dxa"/>
            <w:vAlign w:val="center"/>
            <w:hideMark/>
          </w:tcPr>
          <w:p w:rsidR="00571C20" w:rsidRPr="006635A0" w:rsidRDefault="00571C20" w:rsidP="0066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5A0">
              <w:rPr>
                <w:b/>
                <w:sz w:val="20"/>
                <w:szCs w:val="20"/>
              </w:rPr>
              <w:t>Единица измерения</w:t>
            </w:r>
            <w:r w:rsidR="00A36B98" w:rsidRPr="006635A0">
              <w:rPr>
                <w:b/>
                <w:sz w:val="20"/>
                <w:szCs w:val="20"/>
              </w:rPr>
              <w:t xml:space="preserve"> </w:t>
            </w:r>
            <w:r w:rsidRPr="006635A0">
              <w:rPr>
                <w:b/>
                <w:sz w:val="20"/>
                <w:szCs w:val="20"/>
              </w:rPr>
              <w:t>критерия</w:t>
            </w:r>
          </w:p>
        </w:tc>
        <w:tc>
          <w:tcPr>
            <w:tcW w:w="1579" w:type="dxa"/>
            <w:vAlign w:val="center"/>
            <w:hideMark/>
          </w:tcPr>
          <w:p w:rsidR="00571C20" w:rsidRPr="006635A0" w:rsidRDefault="00571C20" w:rsidP="006635A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635A0">
              <w:rPr>
                <w:b/>
                <w:sz w:val="20"/>
                <w:szCs w:val="20"/>
              </w:rPr>
              <w:t xml:space="preserve">Оценка (в </w:t>
            </w:r>
            <w:proofErr w:type="gramStart"/>
            <w:r w:rsidRPr="006635A0">
              <w:rPr>
                <w:b/>
                <w:sz w:val="20"/>
                <w:szCs w:val="20"/>
              </w:rPr>
              <w:t>бал</w:t>
            </w:r>
            <w:r w:rsidR="00A36B98" w:rsidRPr="006635A0">
              <w:rPr>
                <w:b/>
                <w:sz w:val="20"/>
                <w:szCs w:val="20"/>
              </w:rPr>
              <w:t>л</w:t>
            </w:r>
            <w:r w:rsidRPr="006635A0">
              <w:rPr>
                <w:b/>
                <w:sz w:val="20"/>
                <w:szCs w:val="20"/>
              </w:rPr>
              <w:t>ах</w:t>
            </w:r>
            <w:proofErr w:type="gramEnd"/>
            <w:r w:rsidRPr="006635A0">
              <w:rPr>
                <w:b/>
                <w:sz w:val="20"/>
                <w:szCs w:val="20"/>
              </w:rPr>
              <w:t>) за 1 единицу критерия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  <w:tab w:val="left" w:pos="87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Срок предоставления гарантии качества</w:t>
            </w: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до 3</w:t>
            </w:r>
            <w:r w:rsidR="00571C20" w:rsidRPr="00403722">
              <w:rPr>
                <w:sz w:val="20"/>
                <w:szCs w:val="20"/>
              </w:rPr>
              <w:t xml:space="preserve"> лет включительно </w:t>
            </w:r>
          </w:p>
        </w:tc>
        <w:tc>
          <w:tcPr>
            <w:tcW w:w="1579" w:type="dxa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до 4</w:t>
            </w:r>
            <w:r w:rsidR="00571C20" w:rsidRPr="00403722">
              <w:rPr>
                <w:sz w:val="20"/>
                <w:szCs w:val="20"/>
              </w:rPr>
              <w:t xml:space="preserve"> лет включительно </w:t>
            </w:r>
          </w:p>
        </w:tc>
        <w:tc>
          <w:tcPr>
            <w:tcW w:w="1579" w:type="dxa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до 5</w:t>
            </w:r>
            <w:r w:rsidR="00571C20" w:rsidRPr="00403722">
              <w:rPr>
                <w:sz w:val="20"/>
                <w:szCs w:val="20"/>
              </w:rPr>
              <w:t xml:space="preserve"> лет включительно </w:t>
            </w:r>
          </w:p>
        </w:tc>
        <w:tc>
          <w:tcPr>
            <w:tcW w:w="1579" w:type="dxa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свыше 5</w:t>
            </w:r>
            <w:r w:rsidR="00571C20" w:rsidRPr="0040372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579" w:type="dxa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  <w:tab w:val="left" w:pos="87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Наличие специальной техники и механизмов, используемых в дорожной деятельности и имеющих отношение к проведению работ по благоустройству дворовых территорий</w:t>
            </w:r>
          </w:p>
        </w:tc>
        <w:tc>
          <w:tcPr>
            <w:tcW w:w="4748" w:type="dxa"/>
            <w:hideMark/>
          </w:tcPr>
          <w:p w:rsidR="00571C20" w:rsidRPr="00403722" w:rsidRDefault="00A36B98" w:rsidP="00A36B98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до 6</w:t>
            </w:r>
            <w:r w:rsidR="00571C20" w:rsidRPr="00403722">
              <w:rPr>
                <w:sz w:val="20"/>
                <w:szCs w:val="20"/>
              </w:rPr>
              <w:t xml:space="preserve"> единиц специализированной техники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7 единиц специализированной техники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8 единиц специализированной техники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9 единиц специализированной техники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10 и более единиц специализированной техники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5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  <w:tab w:val="left" w:pos="87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до 6</w:t>
            </w:r>
            <w:r w:rsidR="00571C20" w:rsidRPr="00403722">
              <w:rPr>
                <w:sz w:val="20"/>
                <w:szCs w:val="20"/>
              </w:rPr>
              <w:t xml:space="preserve">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9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10 и более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5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  <w:tab w:val="left" w:pos="87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Период осуществления</w:t>
            </w:r>
            <w:r w:rsidRPr="00403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дорожной деятельности, связанной с ремонтом дорог и благоустройством территорий</w:t>
            </w: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403722">
              <w:rPr>
                <w:sz w:val="20"/>
                <w:szCs w:val="20"/>
              </w:rPr>
              <w:t>1 полный год</w:t>
            </w:r>
            <w:proofErr w:type="gramEnd"/>
            <w:r w:rsidRPr="004037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2 года деятельности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3 года деятельности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4 года деятельности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5 лет деятельности включительно и более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5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  <w:tab w:val="left" w:pos="87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 xml:space="preserve">Объёмы выполненных организациями работ в </w:t>
            </w:r>
            <w:proofErr w:type="gramStart"/>
            <w:r w:rsidR="00571C20" w:rsidRPr="00403722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="00571C20" w:rsidRPr="00403722">
              <w:rPr>
                <w:rFonts w:ascii="Times New Roman" w:hAnsi="Times New Roman"/>
                <w:sz w:val="20"/>
                <w:szCs w:val="20"/>
              </w:rPr>
              <w:t xml:space="preserve"> дорожной деятельности по ремонту дорог и благоустройству территорий за последние два года на сумму</w:t>
            </w: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 xml:space="preserve">От 4 </w:t>
            </w:r>
            <w:proofErr w:type="gramStart"/>
            <w:r w:rsidRPr="00403722">
              <w:rPr>
                <w:sz w:val="20"/>
                <w:szCs w:val="20"/>
              </w:rPr>
              <w:t>млн</w:t>
            </w:r>
            <w:proofErr w:type="gramEnd"/>
            <w:r w:rsidR="00571C20" w:rsidRPr="00403722">
              <w:rPr>
                <w:sz w:val="20"/>
                <w:szCs w:val="20"/>
              </w:rPr>
              <w:t xml:space="preserve"> руб. включительно до 6 млн. руб.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 xml:space="preserve">От 6 </w:t>
            </w:r>
            <w:proofErr w:type="gramStart"/>
            <w:r w:rsidRPr="00403722">
              <w:rPr>
                <w:sz w:val="20"/>
                <w:szCs w:val="20"/>
              </w:rPr>
              <w:t>млн</w:t>
            </w:r>
            <w:proofErr w:type="gramEnd"/>
            <w:r w:rsidRPr="00403722">
              <w:rPr>
                <w:sz w:val="20"/>
                <w:szCs w:val="20"/>
              </w:rPr>
              <w:t xml:space="preserve"> руб. включительно до 8 млн</w:t>
            </w:r>
            <w:r w:rsidR="00571C20" w:rsidRPr="004037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 xml:space="preserve">От 8 </w:t>
            </w:r>
            <w:proofErr w:type="gramStart"/>
            <w:r w:rsidRPr="00403722">
              <w:rPr>
                <w:sz w:val="20"/>
                <w:szCs w:val="20"/>
              </w:rPr>
              <w:t>млн</w:t>
            </w:r>
            <w:proofErr w:type="gramEnd"/>
            <w:r w:rsidRPr="00403722">
              <w:rPr>
                <w:sz w:val="20"/>
                <w:szCs w:val="20"/>
              </w:rPr>
              <w:t xml:space="preserve"> руб. включительно до 10 млн</w:t>
            </w:r>
            <w:r w:rsidR="00571C20" w:rsidRPr="004037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 xml:space="preserve">От 10 </w:t>
            </w:r>
            <w:proofErr w:type="gramStart"/>
            <w:r w:rsidRPr="00403722">
              <w:rPr>
                <w:sz w:val="20"/>
                <w:szCs w:val="20"/>
              </w:rPr>
              <w:t>млн</w:t>
            </w:r>
            <w:proofErr w:type="gramEnd"/>
            <w:r w:rsidRPr="00403722">
              <w:rPr>
                <w:sz w:val="20"/>
                <w:szCs w:val="20"/>
              </w:rPr>
              <w:t xml:space="preserve"> руб. включительно до 12 млн </w:t>
            </w:r>
            <w:r w:rsidR="00571C20" w:rsidRPr="00403722">
              <w:rPr>
                <w:sz w:val="20"/>
                <w:szCs w:val="20"/>
              </w:rPr>
              <w:t>руб.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 xml:space="preserve">От 12 </w:t>
            </w:r>
            <w:proofErr w:type="gramStart"/>
            <w:r w:rsidRPr="00403722">
              <w:rPr>
                <w:sz w:val="20"/>
                <w:szCs w:val="20"/>
              </w:rPr>
              <w:t>млн</w:t>
            </w:r>
            <w:proofErr w:type="gramEnd"/>
            <w:r w:rsidR="00571C20" w:rsidRPr="00403722">
              <w:rPr>
                <w:sz w:val="20"/>
                <w:szCs w:val="20"/>
              </w:rPr>
              <w:t xml:space="preserve"> руб. включительно и более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22">
              <w:rPr>
                <w:sz w:val="20"/>
                <w:szCs w:val="20"/>
              </w:rPr>
              <w:t>5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Не предоставление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0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Наличие производственной базы, общей площадью:</w:t>
            </w:r>
          </w:p>
        </w:tc>
        <w:tc>
          <w:tcPr>
            <w:tcW w:w="4748" w:type="dxa"/>
            <w:hideMark/>
          </w:tcPr>
          <w:p w:rsidR="00571C20" w:rsidRPr="00403722" w:rsidRDefault="00571C20" w:rsidP="00A36B98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Не более 200 кв</w:t>
            </w:r>
            <w:r w:rsidR="00A36B98" w:rsidRPr="00403722">
              <w:rPr>
                <w:spacing w:val="7"/>
                <w:sz w:val="20"/>
                <w:szCs w:val="20"/>
              </w:rPr>
              <w:t>. м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От 200 до 500 кв.</w:t>
            </w:r>
            <w:r w:rsidR="00A36B98" w:rsidRPr="00403722">
              <w:rPr>
                <w:spacing w:val="7"/>
                <w:sz w:val="20"/>
                <w:szCs w:val="20"/>
              </w:rPr>
              <w:t xml:space="preserve"> м</w:t>
            </w:r>
            <w:r w:rsidRPr="00403722">
              <w:rPr>
                <w:spacing w:val="7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От 500 до 1000 кв.</w:t>
            </w:r>
            <w:r w:rsidR="00A36B98" w:rsidRPr="00403722">
              <w:rPr>
                <w:spacing w:val="7"/>
                <w:sz w:val="20"/>
                <w:szCs w:val="20"/>
              </w:rPr>
              <w:t xml:space="preserve"> м</w:t>
            </w:r>
            <w:r w:rsidRPr="00403722">
              <w:rPr>
                <w:spacing w:val="7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От 1000 до 2000 кв.</w:t>
            </w:r>
            <w:r w:rsidR="00A36B98" w:rsidRPr="00403722">
              <w:rPr>
                <w:spacing w:val="7"/>
                <w:sz w:val="20"/>
                <w:szCs w:val="20"/>
              </w:rPr>
              <w:t xml:space="preserve"> м</w:t>
            </w:r>
            <w:r w:rsidRPr="00403722">
              <w:rPr>
                <w:spacing w:val="7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Более 2000 кв.</w:t>
            </w:r>
            <w:r w:rsidR="00A36B98" w:rsidRPr="00403722">
              <w:rPr>
                <w:spacing w:val="7"/>
                <w:sz w:val="20"/>
                <w:szCs w:val="20"/>
              </w:rPr>
              <w:t xml:space="preserve"> м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5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 w:val="restart"/>
            <w:vAlign w:val="center"/>
            <w:hideMark/>
          </w:tcPr>
          <w:p w:rsidR="00571C20" w:rsidRPr="00403722" w:rsidRDefault="00832F6F" w:rsidP="00832F6F">
            <w:pPr>
              <w:pStyle w:val="ac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03722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571C20" w:rsidRPr="00403722">
              <w:rPr>
                <w:rFonts w:ascii="Times New Roman" w:hAnsi="Times New Roman"/>
                <w:sz w:val="20"/>
                <w:szCs w:val="20"/>
              </w:rPr>
              <w:t>Наличие основных сре</w:t>
            </w:r>
            <w:proofErr w:type="gramStart"/>
            <w:r w:rsidR="00571C20" w:rsidRPr="00403722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="00571C20" w:rsidRPr="00403722">
              <w:rPr>
                <w:rFonts w:ascii="Times New Roman" w:hAnsi="Times New Roman"/>
                <w:sz w:val="20"/>
                <w:szCs w:val="20"/>
              </w:rPr>
              <w:t>едприятия на сумму</w:t>
            </w: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 xml:space="preserve">Не более 5 </w:t>
            </w:r>
            <w:proofErr w:type="gramStart"/>
            <w:r w:rsidRPr="00403722">
              <w:rPr>
                <w:spacing w:val="7"/>
                <w:sz w:val="20"/>
                <w:szCs w:val="20"/>
              </w:rPr>
              <w:t>млн</w:t>
            </w:r>
            <w:proofErr w:type="gramEnd"/>
            <w:r w:rsidR="00571C20" w:rsidRPr="00403722">
              <w:rPr>
                <w:spacing w:val="7"/>
                <w:sz w:val="20"/>
                <w:szCs w:val="20"/>
              </w:rPr>
              <w:t xml:space="preserve"> руб.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1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 xml:space="preserve">От 5 до 10 </w:t>
            </w:r>
            <w:proofErr w:type="gramStart"/>
            <w:r w:rsidRPr="00403722">
              <w:rPr>
                <w:spacing w:val="7"/>
                <w:sz w:val="20"/>
                <w:szCs w:val="20"/>
              </w:rPr>
              <w:t>млн</w:t>
            </w:r>
            <w:proofErr w:type="gramEnd"/>
            <w:r w:rsidR="00571C20" w:rsidRPr="00403722">
              <w:rPr>
                <w:spacing w:val="7"/>
                <w:sz w:val="20"/>
                <w:szCs w:val="20"/>
              </w:rPr>
              <w:t xml:space="preserve"> руб.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2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 xml:space="preserve">От 10 до 20 </w:t>
            </w:r>
            <w:proofErr w:type="gramStart"/>
            <w:r w:rsidRPr="00403722">
              <w:rPr>
                <w:spacing w:val="7"/>
                <w:sz w:val="20"/>
                <w:szCs w:val="20"/>
              </w:rPr>
              <w:t>млн</w:t>
            </w:r>
            <w:proofErr w:type="gramEnd"/>
            <w:r w:rsidR="00571C20" w:rsidRPr="00403722">
              <w:rPr>
                <w:spacing w:val="7"/>
                <w:sz w:val="20"/>
                <w:szCs w:val="20"/>
              </w:rPr>
              <w:t xml:space="preserve"> руб.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3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571C20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От 20</w:t>
            </w:r>
            <w:r w:rsidR="00A36B98" w:rsidRPr="00403722">
              <w:rPr>
                <w:spacing w:val="7"/>
                <w:sz w:val="20"/>
                <w:szCs w:val="20"/>
              </w:rPr>
              <w:t xml:space="preserve"> до 30 </w:t>
            </w:r>
            <w:proofErr w:type="gramStart"/>
            <w:r w:rsidR="00A36B98" w:rsidRPr="00403722">
              <w:rPr>
                <w:spacing w:val="7"/>
                <w:sz w:val="20"/>
                <w:szCs w:val="20"/>
              </w:rPr>
              <w:t>млн</w:t>
            </w:r>
            <w:proofErr w:type="gramEnd"/>
            <w:r w:rsidRPr="00403722">
              <w:rPr>
                <w:spacing w:val="7"/>
                <w:sz w:val="20"/>
                <w:szCs w:val="20"/>
              </w:rPr>
              <w:t xml:space="preserve"> руб. включительно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4</w:t>
            </w:r>
          </w:p>
        </w:tc>
      </w:tr>
      <w:tr w:rsidR="00571C20" w:rsidRPr="00403722" w:rsidTr="006635A0">
        <w:trPr>
          <w:trHeight w:val="20"/>
          <w:jc w:val="center"/>
        </w:trPr>
        <w:tc>
          <w:tcPr>
            <w:tcW w:w="3366" w:type="dxa"/>
            <w:vMerge/>
            <w:vAlign w:val="center"/>
            <w:hideMark/>
          </w:tcPr>
          <w:p w:rsidR="00571C20" w:rsidRPr="00403722" w:rsidRDefault="00571C20" w:rsidP="00832F6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hideMark/>
          </w:tcPr>
          <w:p w:rsidR="00571C20" w:rsidRPr="00403722" w:rsidRDefault="00A36B98" w:rsidP="00832F6F">
            <w:pPr>
              <w:suppressAutoHyphens w:val="0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 xml:space="preserve">Более 30 </w:t>
            </w:r>
            <w:proofErr w:type="gramStart"/>
            <w:r w:rsidRPr="00403722">
              <w:rPr>
                <w:spacing w:val="7"/>
                <w:sz w:val="20"/>
                <w:szCs w:val="20"/>
              </w:rPr>
              <w:t>млн</w:t>
            </w:r>
            <w:proofErr w:type="gramEnd"/>
            <w:r w:rsidR="00571C20" w:rsidRPr="00403722">
              <w:rPr>
                <w:spacing w:val="7"/>
                <w:sz w:val="20"/>
                <w:szCs w:val="20"/>
              </w:rPr>
              <w:t xml:space="preserve"> руб.</w:t>
            </w:r>
          </w:p>
        </w:tc>
        <w:tc>
          <w:tcPr>
            <w:tcW w:w="1579" w:type="dxa"/>
            <w:vAlign w:val="center"/>
            <w:hideMark/>
          </w:tcPr>
          <w:p w:rsidR="00571C20" w:rsidRPr="00403722" w:rsidRDefault="00571C20" w:rsidP="006635A0">
            <w:pPr>
              <w:suppressAutoHyphens w:val="0"/>
              <w:jc w:val="center"/>
              <w:rPr>
                <w:spacing w:val="7"/>
                <w:sz w:val="20"/>
                <w:szCs w:val="20"/>
              </w:rPr>
            </w:pPr>
            <w:r w:rsidRPr="00403722">
              <w:rPr>
                <w:spacing w:val="7"/>
                <w:sz w:val="20"/>
                <w:szCs w:val="20"/>
              </w:rPr>
              <w:t>5</w:t>
            </w:r>
          </w:p>
        </w:tc>
      </w:tr>
    </w:tbl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lastRenderedPageBreak/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571C20" w:rsidRPr="006635A0" w:rsidRDefault="00571C20" w:rsidP="004037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Во втором этапе победителем отбора признается подрядная организация, предложившая наименьшую стоимость работ. В </w:t>
      </w:r>
      <w:proofErr w:type="gramStart"/>
      <w:r w:rsidRPr="006635A0">
        <w:rPr>
          <w:sz w:val="26"/>
          <w:szCs w:val="26"/>
        </w:rPr>
        <w:t>случае</w:t>
      </w:r>
      <w:proofErr w:type="gramEnd"/>
      <w:r w:rsidRPr="006635A0">
        <w:rPr>
          <w:sz w:val="26"/>
          <w:szCs w:val="26"/>
        </w:rPr>
        <w:t xml:space="preserve"> равенства предложений о стоимости работ победителем отбора признается подрядная организация, чье предложение поступило ранее предложения другой подрядной организации, участвующей во втором этапе отбора. 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Максимальные сроки выполнения работ </w:t>
      </w:r>
      <w:r w:rsidR="00A36B98" w:rsidRPr="006635A0">
        <w:rPr>
          <w:sz w:val="26"/>
          <w:szCs w:val="26"/>
        </w:rPr>
        <w:t xml:space="preserve">— </w:t>
      </w:r>
      <w:r w:rsidRPr="006635A0">
        <w:rPr>
          <w:sz w:val="26"/>
          <w:szCs w:val="26"/>
        </w:rPr>
        <w:t xml:space="preserve">до </w:t>
      </w:r>
      <w:r w:rsidRPr="006635A0">
        <w:rPr>
          <w:b/>
          <w:sz w:val="26"/>
          <w:szCs w:val="26"/>
        </w:rPr>
        <w:t>20.08.2020</w:t>
      </w:r>
      <w:r w:rsidR="00A36B98" w:rsidRPr="006635A0">
        <w:rPr>
          <w:b/>
          <w:sz w:val="26"/>
          <w:szCs w:val="26"/>
        </w:rPr>
        <w:t xml:space="preserve"> </w:t>
      </w:r>
      <w:r w:rsidRPr="006635A0">
        <w:rPr>
          <w:b/>
          <w:sz w:val="26"/>
          <w:szCs w:val="26"/>
        </w:rPr>
        <w:t>г.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5A0">
        <w:rPr>
          <w:sz w:val="26"/>
          <w:szCs w:val="26"/>
        </w:rPr>
        <w:t xml:space="preserve">Минимальный срок предоставления гарантии качества работ </w:t>
      </w:r>
      <w:r w:rsidR="00A36B98" w:rsidRPr="006635A0">
        <w:rPr>
          <w:sz w:val="26"/>
          <w:szCs w:val="26"/>
        </w:rPr>
        <w:t xml:space="preserve">— </w:t>
      </w:r>
      <w:r w:rsidRPr="006635A0">
        <w:rPr>
          <w:sz w:val="26"/>
          <w:szCs w:val="26"/>
        </w:rPr>
        <w:t>три года.</w:t>
      </w: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71C20" w:rsidRPr="006635A0" w:rsidRDefault="00571C20" w:rsidP="00403722">
      <w:pPr>
        <w:shd w:val="clear" w:color="auto" w:fill="FFFFFF"/>
        <w:tabs>
          <w:tab w:val="left" w:pos="90"/>
        </w:tabs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635A0">
        <w:rPr>
          <w:b/>
          <w:bCs/>
          <w:sz w:val="26"/>
          <w:szCs w:val="26"/>
        </w:rPr>
        <w:t>Максимальная цена Договора на выполнение работ по благоустройству дворовой территории многоквартирных домов,</w:t>
      </w:r>
      <w:r w:rsidR="00A36B98" w:rsidRPr="006635A0">
        <w:rPr>
          <w:b/>
          <w:bCs/>
          <w:sz w:val="26"/>
          <w:szCs w:val="26"/>
        </w:rPr>
        <w:t xml:space="preserve"> </w:t>
      </w:r>
      <w:r w:rsidRPr="006635A0">
        <w:rPr>
          <w:b/>
          <w:bCs/>
          <w:sz w:val="26"/>
          <w:szCs w:val="26"/>
        </w:rPr>
        <w:t>расположенных по адресу: г. Красноярск, ул. Взлетная</w:t>
      </w:r>
      <w:r w:rsidR="00A36B98" w:rsidRPr="006635A0">
        <w:rPr>
          <w:b/>
          <w:bCs/>
          <w:sz w:val="26"/>
          <w:szCs w:val="26"/>
        </w:rPr>
        <w:t xml:space="preserve">, </w:t>
      </w:r>
      <w:r w:rsidRPr="006635A0">
        <w:rPr>
          <w:b/>
          <w:bCs/>
          <w:sz w:val="26"/>
          <w:szCs w:val="26"/>
        </w:rPr>
        <w:t>д. 8/10</w:t>
      </w:r>
      <w:r w:rsidR="00832F6F" w:rsidRPr="006635A0">
        <w:rPr>
          <w:b/>
          <w:bCs/>
          <w:sz w:val="26"/>
          <w:szCs w:val="26"/>
        </w:rPr>
        <w:t xml:space="preserve"> — </w:t>
      </w:r>
      <w:r w:rsidRPr="006635A0">
        <w:rPr>
          <w:b/>
          <w:bCs/>
          <w:sz w:val="26"/>
          <w:szCs w:val="26"/>
        </w:rPr>
        <w:t>2 882 101,74</w:t>
      </w:r>
      <w:r w:rsidR="00A36B98" w:rsidRPr="006635A0">
        <w:rPr>
          <w:b/>
          <w:bCs/>
          <w:sz w:val="26"/>
          <w:szCs w:val="26"/>
        </w:rPr>
        <w:t xml:space="preserve"> руб. в том числе НДС</w:t>
      </w:r>
      <w:r w:rsidRPr="006635A0">
        <w:rPr>
          <w:b/>
          <w:bCs/>
          <w:sz w:val="26"/>
          <w:szCs w:val="26"/>
        </w:rPr>
        <w:t>, сборы и другие обязательные платежи.</w:t>
      </w:r>
    </w:p>
    <w:sectPr w:rsidR="00571C20" w:rsidRPr="006635A0" w:rsidSect="006635A0">
      <w:headerReference w:type="default" r:id="rId8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BE" w:rsidRDefault="000853BE" w:rsidP="00832F6F">
      <w:r>
        <w:separator/>
      </w:r>
    </w:p>
  </w:endnote>
  <w:endnote w:type="continuationSeparator" w:id="0">
    <w:p w:rsidR="000853BE" w:rsidRDefault="000853BE" w:rsidP="0083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BE" w:rsidRDefault="000853BE" w:rsidP="00832F6F">
      <w:r>
        <w:separator/>
      </w:r>
    </w:p>
  </w:footnote>
  <w:footnote w:type="continuationSeparator" w:id="0">
    <w:p w:rsidR="000853BE" w:rsidRDefault="000853BE" w:rsidP="0083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F" w:rsidRPr="00832F6F" w:rsidRDefault="00832F6F" w:rsidP="00832F6F">
    <w:pPr>
      <w:pStyle w:val="ad"/>
      <w:suppressAutoHyphens w:val="0"/>
      <w:ind w:right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20"/>
    <w:rsid w:val="000853BE"/>
    <w:rsid w:val="00392AD3"/>
    <w:rsid w:val="00403722"/>
    <w:rsid w:val="004B6DB9"/>
    <w:rsid w:val="00571C20"/>
    <w:rsid w:val="00617683"/>
    <w:rsid w:val="006635A0"/>
    <w:rsid w:val="0070374F"/>
    <w:rsid w:val="00832F6F"/>
    <w:rsid w:val="00A36B98"/>
    <w:rsid w:val="00B82108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paragraph" w:styleId="2">
    <w:name w:val="heading 2"/>
    <w:basedOn w:val="1"/>
    <w:next w:val="a0"/>
    <w:link w:val="20"/>
    <w:uiPriority w:val="9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  <w:lang/>
    </w:rPr>
  </w:style>
  <w:style w:type="paragraph" w:styleId="a5">
    <w:name w:val="List"/>
    <w:basedOn w:val="a0"/>
    <w:uiPriority w:val="99"/>
    <w:rPr>
      <w:rFonts w:ascii="Arial" w:hAnsi="Arial" w:cs="Tahoma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Pr>
      <w:rFonts w:ascii="Segoe UI" w:hAnsi="Segoe UI" w:cs="Segoe UI"/>
      <w:sz w:val="18"/>
      <w:szCs w:val="18"/>
      <w:lang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basedOn w:val="a1"/>
    <w:uiPriority w:val="99"/>
    <w:unhideWhenUsed/>
    <w:rsid w:val="00571C2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571C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832F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832F6F"/>
    <w:rPr>
      <w:rFonts w:cs="Times New Roman"/>
      <w:sz w:val="24"/>
      <w:szCs w:val="24"/>
      <w:lang/>
    </w:rPr>
  </w:style>
  <w:style w:type="paragraph" w:styleId="af">
    <w:name w:val="footer"/>
    <w:basedOn w:val="a"/>
    <w:link w:val="af0"/>
    <w:uiPriority w:val="99"/>
    <w:semiHidden/>
    <w:unhideWhenUsed/>
    <w:rsid w:val="00832F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832F6F"/>
    <w:rPr>
      <w:rFonts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5C71B-3001-454B-BC9D-37C064472C7C}"/>
</file>

<file path=customXml/itemProps2.xml><?xml version="1.0" encoding="utf-8"?>
<ds:datastoreItem xmlns:ds="http://schemas.openxmlformats.org/officeDocument/2006/customXml" ds:itemID="{CA41F67F-A2D0-4BB1-B4AD-D9EE4AADA1E2}"/>
</file>

<file path=customXml/itemProps3.xml><?xml version="1.0" encoding="utf-8"?>
<ds:datastoreItem xmlns:ds="http://schemas.openxmlformats.org/officeDocument/2006/customXml" ds:itemID="{67014474-ED35-45B7-8565-0F617F255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: ___________________________, тел</vt:lpstr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: ___________________________, тел</dc:title>
  <dc:subject/>
  <dc:creator>Наташа</dc:creator>
  <cp:keywords/>
  <dc:description/>
  <cp:lastModifiedBy>Семичев Андрей Вячеславович</cp:lastModifiedBy>
  <cp:revision>2</cp:revision>
  <cp:lastPrinted>2020-03-24T06:45:00Z</cp:lastPrinted>
  <dcterms:created xsi:type="dcterms:W3CDTF">2020-03-24T11:28:00Z</dcterms:created>
  <dcterms:modified xsi:type="dcterms:W3CDTF">2020-03-24T11:28:00Z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