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DA" w:rsidRDefault="000818DA" w:rsidP="000818DA">
      <w:pPr>
        <w:pStyle w:val="3"/>
        <w:shd w:val="clear" w:color="auto" w:fill="FFFFFF"/>
        <w:rPr>
          <w:rFonts w:ascii="Arial" w:hAnsi="Arial" w:cs="Arial"/>
          <w:color w:val="333333"/>
        </w:rPr>
      </w:pPr>
      <w:r>
        <w:rPr>
          <w:rFonts w:ascii="Helvetica" w:hAnsi="Helvetica" w:cs="Helvetica"/>
          <w:color w:val="333333"/>
        </w:rPr>
        <w:t>• ЖИЛИЩЕ. ЖКХ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5" w:tgtFrame="_blank" w:history="1"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&lt;Письмо&gt; Минстроя России от 17.02.2020 N 4984-МЕ/06</w:t>
        </w:r>
        <w:proofErr w:type="gramStart"/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 xml:space="preserve"> &lt;О</w:t>
        </w:r>
        <w:proofErr w:type="gramEnd"/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 xml:space="preserve"> типовых условиях договора о предоставлении и использовании финансовой поддержки за счет средств государственной корпорации - Фонда содействия реформированию жилищно-коммунального хозяйства на переселение граждан из аварийного жилищного фонда&gt;</w:t>
        </w:r>
      </w:hyperlink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Минстроем России согласована редакция типовых условий договора о предоставлении финансовой поддержки за счет средств Фонда содействия реформированию жилищно-коммунального хозяйства на переселение граждан из аварийного жилищного фонда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Договор регулирует порядок взаимодействия сторон - ГК "Фонд содействия реформированию жилищно-коммунального хозяйства" и субъекта РФ, определяет их права и обязанности в случае подачи субъектом РФ заявки на предоставление финансовой поддержки за счет средств Фонда на реализацию региональной адресной программы по переселению граждан из аварийного жилищного фонда.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Объем средств финансовой поддержки за счет средств Фонда определяется при принятии правлением Фонда решения о предоставлении субъекту РФ финансовой поддержки и указывается в дополнительном соглашении к договору.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Договор, заключаемый Фондом с субъектом РФ, может иметь отличное от типовых условий структурное деление, в том числе он может состоять из нескольких документов (основного текста договора, приложений, дополнительных соглашений к нему).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Договор, заключаемый после утверждения типовых условий, должен соответствовать типовым условиям.</w:t>
      </w:r>
    </w:p>
    <w:p w:rsidR="000818DA" w:rsidRDefault="000818DA" w:rsidP="000818DA">
      <w:pPr>
        <w:pStyle w:val="3"/>
        <w:shd w:val="clear" w:color="auto" w:fill="FFFFFF"/>
        <w:rPr>
          <w:rFonts w:ascii="Arial" w:hAnsi="Arial" w:cs="Arial"/>
          <w:color w:val="333333"/>
        </w:rPr>
      </w:pPr>
      <w:bookmarkStart w:id="0" w:name="mailruanchor_mailruanchor_fw_sect_4"/>
      <w:bookmarkEnd w:id="0"/>
      <w:r>
        <w:rPr>
          <w:rFonts w:ascii="Helvetica" w:hAnsi="Helvetica" w:cs="Helvetica"/>
          <w:color w:val="333333"/>
        </w:rPr>
        <w:t>• ТРУД И ЗАНЯТОСТЬ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6" w:tgtFrame="_blank" w:history="1"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Постановление Конституционного Суда РФ от 13.02.2020 N 8-П "По делу о проверке конституционности пунктов 1 и 2 статьи 5 Федерального закона "О муниципальной службе в Российской Федерации" в связи с жалобой гражданки Н.Г. Малышевой"</w:t>
        </w:r>
      </w:hyperlink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Сведения о наличии либо отсутствии судимости у лица, поступающего на муниципальную службу, не </w:t>
      </w:r>
      <w:proofErr w:type="gramStart"/>
      <w:r>
        <w:rPr>
          <w:rFonts w:ascii="Helvetica" w:hAnsi="Helvetica" w:cs="Helvetica"/>
          <w:b/>
          <w:bCs/>
          <w:color w:val="333333"/>
          <w:sz w:val="23"/>
          <w:szCs w:val="23"/>
        </w:rPr>
        <w:t>являются</w:t>
      </w:r>
      <w:proofErr w:type="gramEnd"/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 безусловно необходимыми для выявления обстоятельств, препятствующих принятию данного лица на муниципальную службу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t>Конституционный Суд РФ признал пункт 2 статьи 5 Федерального закона от 2 марта 2007 г. N 25-ФЗ "О муниципальной службе в Российской Федерации" не противоречащим Конституции РФ в той мере, в какой содержащийся в нем принцип единства ограничений и обязательств при прохождении муниципальной службы и государственной гражданской службы по своему конституционно-правовому смыслу в системной связи с иными положениями этого Федерального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закона не предполагает расторжения трудового договора за несоблюдение предусмотренных законом ограничений и запретов, связанных с муниципальной службой, с муниципальным служащим, не указавшим при поступлении на муниципальную службу в анкете установленной формы сведения о судимости.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lastRenderedPageBreak/>
        <w:t>Конституционный Суд РФ, в частности, указал, что установленное пунктом 2 статьи 5 названного Федерального закона N 25-ФЗ единство ограничений и обязательств при прохождении муниципальной службы и государственной гражданской службы само по себе не предполагает их полного тождества, а значит, и автоматического распространения на муниципальных служащих такого связанного с государственной гражданской службой ограничения, как наличие у гражданина неснятой или непогашенной судимости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, сведения о наличии либо отсутствии у лица, поступающего на муниципальную службу, судимости как таковые не могут повлиять на оценку соответствия его квалификационным требованиям, предусмотренным законом для замещения должностей муниципальной службы, а равно не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являются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безусловно необходимыми для выявления обстоятельств, препятствующих принятию данного лица на муниципальную службу.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7" w:tgtFrame="_blank" w:history="1"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Приказ Минтруда России от 25.11.2019 N 734н "Об утверждении перечня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порядке" Зарегистрировано в Минюсте России 17.02.2020 N 57515.</w:t>
        </w:r>
      </w:hyperlink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В перечень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РФ в упрощенном порядке, включены 135 позиций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Признан утратившим силу Приказ Минтруда России от 13.07.2015 N 446н, которым был утвержден ранее применявшийся аналогичный перечень, состоящий из 74 позиций.</w:t>
      </w:r>
    </w:p>
    <w:p w:rsidR="000818DA" w:rsidRDefault="000818DA" w:rsidP="000818DA">
      <w:pPr>
        <w:pStyle w:val="3"/>
        <w:shd w:val="clear" w:color="auto" w:fill="FFFFFF"/>
        <w:rPr>
          <w:rFonts w:ascii="Arial" w:hAnsi="Arial" w:cs="Arial"/>
          <w:color w:val="333333"/>
        </w:rPr>
      </w:pPr>
      <w:bookmarkStart w:id="1" w:name="mailruanchor_mailruanchor_fw_sect_5"/>
      <w:bookmarkEnd w:id="1"/>
      <w:r>
        <w:rPr>
          <w:rFonts w:ascii="Helvetica" w:hAnsi="Helvetica" w:cs="Helvetica"/>
          <w:color w:val="333333"/>
        </w:rPr>
        <w:t>• СОЦИАЛЬНОЕ ОБЕСПЕЧЕНИЕ. ПОСОБИЯ И ЛЬГОТЫ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8" w:tgtFrame="_blank" w:history="1"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Постановление Правительства РФ от 10.02.2020 N 114 "О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Федерации"</w:t>
        </w:r>
      </w:hyperlink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С 1 июля 2020 года инвалидам для получения пособий не придется представлять справку об установлении инвалидности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Внесены соответствующие поправки в ряд актов Правительства РФ. Справка об установлении инвалидности и другие необходимые для предоставления соответствующей государственной услуги документы будут запрашиваться уполномоченными органами в порядке межведомственного электронного взаимодействия и из ФГИС "Федеральный реестр инвалидов".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9" w:tgtFrame="_blank" w:history="1">
        <w:proofErr w:type="gramStart"/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Постановление Правительства РФ от 12.02.2020 N 130 "Об индексации размера ежемесячной денежной компенсации, установленной частью 1.1 статьи 12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</w:t>
        </w:r>
      </w:hyperlink>
      <w:proofErr w:type="gramEnd"/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С 1 октября 2019 г. проиндексируют на 4,3 процента размер ежемесячной денежной компенсации членам семей сотрудников, погибших при выполнении служебных обязанностей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Речь идет об индексации размера компенсации, установленной частью 1.1 статьи 12 Федерального закона "О социальных гарантиях сотрудникам органов внутренних дел...".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t>Денежная компенсация выплачивается в виде разницы между приходившейся лицу частью денежного довольствия, получаемого погибшим (умершим) сотрудником по состоянию на день его гибели (смерти) или получаемого умершим гражданином РФ, уволенным со службы в органах внутренних дел, по состоянию на день его увольнения, и назначенной пенсией по случаю потери кормильца.</w:t>
      </w:r>
      <w:proofErr w:type="gramEnd"/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0" w:tgtFrame="_blank" w:history="1"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Постановление Правительства РФ от 14.02.2020 N 141 "О внесении изменения в Правила направления средств (части средств) материнского (семейного) капитала на улучшение жилищных условий"</w:t>
        </w:r>
      </w:hyperlink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Установлены правила направления средств материнского капитала на улучшение жилищных условий с использованием счета </w:t>
      </w:r>
      <w:proofErr w:type="spellStart"/>
      <w:r>
        <w:rPr>
          <w:rFonts w:ascii="Helvetica" w:hAnsi="Helvetica" w:cs="Helvetica"/>
          <w:b/>
          <w:bCs/>
          <w:color w:val="333333"/>
          <w:sz w:val="23"/>
          <w:szCs w:val="23"/>
        </w:rPr>
        <w:t>эскроу</w:t>
      </w:r>
      <w:proofErr w:type="spellEnd"/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Правила направления средств (части средств) материнского (семейного) капитала на улучшение жилищных условий приведены в соответствие с Федеральным законом от 27 июня 2019 г. N 151-ФЗ, которым предусмотрена возможность направления средств (части средств) материнского (семейного) капитала на счет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эскроу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 бенефициаром по которому является лицо, осуществляющее отчуждение (строительство) приобретаемого (строящегося) жилого помещения.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1" w:tgtFrame="_blank" w:history="1"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Постановление Правительства РФ от 18.02.2020 N 174 "О внесении изменения в Правила определения среднедушевого дохода для предоставления социальных услуг бесплатно"</w:t>
        </w:r>
      </w:hyperlink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Для расчета среднедушевого дохода потребуется подтверждение сведений о составе семьи, указанных в заявлении получателем социальных услуг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Социальные услуги в форме социального обслуживания предоставляются бесплатно, если на дату обращения среднедушевой доход заявителя ниже или равен предельной величине среднедушевого дохода, установленной для этих целей законом субъекта РФ.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Настоящим постановлением "Правила определения среднедушевого дохода для предоставления социальных услуг бесплатно" дополнены новым положением, на основании которого уполномоченный орган обязан по системе электронного межведомственного взаимодействия запрашивать подтверждение сведений о регистрации лиц, указанных в заявлении.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Подтверждение информации о родственных связях заявителя с совместно зарегистрированными гражданами осуществляется путем декларирования данных сведений и подтверждения их документами, удостоверяющими личность, а также свидетельствами о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госрегистрации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актов гражданского состояния.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2" w:tgtFrame="_blank" w:history="1"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Проект Федерального закона N </w:t>
        </w:r>
        <w:r>
          <w:rPr>
            <w:rStyle w:val="js-phone-number"/>
            <w:rFonts w:ascii="Helvetica" w:hAnsi="Helvetica" w:cs="Helvetica"/>
            <w:b/>
            <w:bCs/>
            <w:color w:val="005BD1"/>
            <w:sz w:val="23"/>
            <w:szCs w:val="23"/>
            <w:u w:val="single"/>
          </w:rPr>
          <w:t>846971-7</w:t>
        </w:r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 "О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капитала" (текст ко второму чтению)</w:t>
        </w:r>
      </w:hyperlink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lastRenderedPageBreak/>
        <w:t xml:space="preserve">Законопроект о направлении </w:t>
      </w:r>
      <w:proofErr w:type="spellStart"/>
      <w:r>
        <w:rPr>
          <w:rFonts w:ascii="Helvetica" w:hAnsi="Helvetica" w:cs="Helvetica"/>
          <w:b/>
          <w:bCs/>
          <w:color w:val="333333"/>
          <w:sz w:val="23"/>
          <w:szCs w:val="23"/>
        </w:rPr>
        <w:t>маткапитала</w:t>
      </w:r>
      <w:proofErr w:type="spellEnd"/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 на строительство жилого дома на садовом участке ко второму чтению дополнен новыми мерами поддержки семей с детьми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Первоначально законопроект был подготовлен в связи с тем, что ранее строительство жилого дома было возможно только на земельном участке, предоставленном для ИЖС. В настоящее время в силу Федерального закона, регулирующего ведение гражданами садоводства и огородничества для собственных нужд, такое строительство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возможно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в том числе и на садовом земельном участке.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В этой связи законопроектом предусмотрена возможность направления части средств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маткапитала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на строительство (реконструкцию) либо на компенсацию затрат на построенный объект индивидуального жилищного строительства на садовом земельном участке.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Ко второму чтению законопроект предложено дополнить новыми положениями, предусматривающими, в частности: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право на дополнительные меры господдержки женщин, родивших (усыновивших) первого ребенка, начиная с 1 января 2020 года, а также мужчин - усыновителей первого ребенка, не воспользовавшихся ранее мерами дополнительной господдержки, если решение суда об усыновлении вступило в силу после 1 января 2020 года;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включение в ЕГИС социального обеспечения дополнительных сведений, в том числе о лишении родительских прав и об ограничении дееспособности гражданина;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введение дифференцированного размера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маткапитала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 в зависимости от рождения (усыновления) первого, второго, третьего или последующих детей.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3" w:tgtFrame="_blank" w:history="1"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Проект Постановления Правительства РФ "Об утверждении коэффициента индексации с 1 апреля 2020 г. социальных пенсий"</w:t>
        </w:r>
      </w:hyperlink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С 1 апреля 2020 года планируется проиндексировать социальные пенсии на 6,1%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Социальные пенсии индексируются ежегодно с 1 апреля с учетом темпов роста прожиточного минимума пенсионера в РФ за прошедший год. Коэффициент индексации социальных пенсий определяется Правительством РФ.</w:t>
      </w:r>
    </w:p>
    <w:p w:rsidR="000818DA" w:rsidRDefault="000818DA" w:rsidP="000818DA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Настоящим проектом коэффициент индексации определен в размере 1,061 (т.е. 6,1%).</w:t>
      </w:r>
    </w:p>
    <w:p w:rsidR="000818DA" w:rsidRDefault="000818DA" w:rsidP="000818DA">
      <w:pPr>
        <w:pStyle w:val="3"/>
        <w:shd w:val="clear" w:color="auto" w:fill="FFFFFF"/>
        <w:rPr>
          <w:rFonts w:ascii="Arial" w:hAnsi="Arial" w:cs="Arial"/>
          <w:color w:val="333333"/>
        </w:rPr>
      </w:pPr>
      <w:bookmarkStart w:id="2" w:name="mailruanchor_mailruanchor_fw_sect_6"/>
      <w:bookmarkEnd w:id="2"/>
      <w:r>
        <w:rPr>
          <w:rFonts w:ascii="Helvetica" w:hAnsi="Helvetica" w:cs="Helvetica"/>
          <w:color w:val="333333"/>
        </w:rPr>
        <w:t>•</w:t>
      </w:r>
    </w:p>
    <w:p w:rsidR="00575691" w:rsidRDefault="00575691">
      <w:bookmarkStart w:id="3" w:name="_GoBack"/>
      <w:bookmarkEnd w:id="3"/>
    </w:p>
    <w:sectPr w:rsidR="0057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9B"/>
    <w:rsid w:val="000818DA"/>
    <w:rsid w:val="00374D9B"/>
    <w:rsid w:val="0057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1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0818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18DA"/>
    <w:rPr>
      <w:b/>
      <w:bCs/>
    </w:rPr>
  </w:style>
  <w:style w:type="character" w:customStyle="1" w:styleId="js-phone-number">
    <w:name w:val="js-phone-number"/>
    <w:basedOn w:val="a0"/>
    <w:rsid w:val="00081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1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0818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18DA"/>
    <w:rPr>
      <w:b/>
      <w:bCs/>
    </w:rPr>
  </w:style>
  <w:style w:type="character" w:customStyle="1" w:styleId="js-phone-number">
    <w:name w:val="js-phone-number"/>
    <w:basedOn w:val="a0"/>
    <w:rsid w:val="0008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w/2020-02-25/click/consultant/?dst=http%3A%2F%2Fwww.consultant.ru%2Fdocument%2Fcons_doc_LAW_345320%2F%23utm_campaign%3Dfw%26utm_source%3Dconsultant%26utm_medium%3Demail%26utm_content%3Dbody" TargetMode="External"/><Relationship Id="rId13" Type="http://schemas.openxmlformats.org/officeDocument/2006/relationships/hyperlink" Target="http://www.consultant.ru/cabinet/stat/fw/2020-02-25/click/consultant/?dst=http%3A%2F%2Fstatic.consultant.ru%2Fobj%2Ffile%2Fdoc%2Fpr_post190220.rtf%23utm_campaign%3Dfw%26utm_source%3Dconsultant%26utm_medium%3Demail%26utm_content%3Dbody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abinet/stat/fw/2020-02-25/click/consultant/?dst=http%3A%2F%2Fwww.consultant.ru%2Fdocument%2Fcons_doc_LAW_345758%2F%23utm_campaign%3Dfw%26utm_source%3Dconsultant%26utm_medium%3Demail%26utm_content%3Dbody" TargetMode="External"/><Relationship Id="rId12" Type="http://schemas.openxmlformats.org/officeDocument/2006/relationships/hyperlink" Target="http://www.consultant.ru/cabinet/stat/fw/2020-02-25/click/consultant/?dst=http%3A%2F%2Fstatic.consultant.ru%2Fobj%2Ffile%2Fdoc%2Ffz_140220.rtf%23utm_campaign%3Dfw%26utm_source%3Dconsultant%26utm_medium%3Demail%26utm_content%3Dbody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w/2020-02-25/click/consultant/?dst=http%3A%2F%2Fwww.consultant.ru%2Fdocument%2Fcons_doc_LAW_345516%2F%23utm_campaign%3Dfw%26utm_source%3Dconsultant%26utm_medium%3Demail%26utm_content%3Dbody" TargetMode="External"/><Relationship Id="rId11" Type="http://schemas.openxmlformats.org/officeDocument/2006/relationships/hyperlink" Target="http://www.consultant.ru/cabinet/stat/fw/2020-02-25/click/consultant/?dst=http%3A%2F%2Fwww.consultant.ru%2Fdocument%2Fcons_doc_LAW_345937%2F%23utm_campaign%3Dfw%26utm_source%3Dconsultant%26utm_medium%3Demail%26utm_content%3Dbody" TargetMode="External"/><Relationship Id="rId5" Type="http://schemas.openxmlformats.org/officeDocument/2006/relationships/hyperlink" Target="http://www.consultant.ru/cabinet/stat/fw/2020-02-25/click/consultant/?dst=http%3A%2F%2Fwww.consultant.ru%2Fdocument%2Fcons_doc_LAW_345947%2F%23utm_campaign%3Dfw%26utm_source%3Dconsultant%26utm_medium%3Demail%26utm_content%3Dbod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abinet/stat/fw/2020-02-25/click/consultant/?dst=http%3A%2F%2Fwww.consultant.ru%2Fdocument%2Fcons_doc_LAW_345480%2F%23utm_campaign%3Dfw%26utm_source%3Dconsultant%26utm_medium%3Demail%26utm_content%3Dbo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abinet/stat/fw/2020-02-25/click/consultant/?dst=http%3A%2F%2Fwww.consultant.ru%2Fdocument%2Fcons_doc_LAW_345441%2F%23utm_campaign%3Dfw%26utm_source%3Dconsultant%26utm_medium%3Demail%26utm_content%3Dbod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EFE40D-4153-49E5-9BD3-D0EC6016E7D1}"/>
</file>

<file path=customXml/itemProps2.xml><?xml version="1.0" encoding="utf-8"?>
<ds:datastoreItem xmlns:ds="http://schemas.openxmlformats.org/officeDocument/2006/customXml" ds:itemID="{A8939EED-4794-4B01-93E6-B0C56A9F83E8}"/>
</file>

<file path=customXml/itemProps3.xml><?xml version="1.0" encoding="utf-8"?>
<ds:datastoreItem xmlns:ds="http://schemas.openxmlformats.org/officeDocument/2006/customXml" ds:itemID="{BA989543-27B8-40AF-A892-4C546DB74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1837</Words>
  <Characters>10476</Characters>
  <Application>Microsoft Office Word</Application>
  <DocSecurity>0</DocSecurity>
  <Lines>87</Lines>
  <Paragraphs>24</Paragraphs>
  <ScaleCrop>false</ScaleCrop>
  <Company/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Головатый Сергей Владимирович</dc:creator>
  <cp:keywords/>
  <dc:description/>
  <cp:lastModifiedBy>Головатый Сергей Владимирович</cp:lastModifiedBy>
  <cp:revision>2</cp:revision>
  <dcterms:created xsi:type="dcterms:W3CDTF">2020-03-05T01:45:00Z</dcterms:created>
  <dcterms:modified xsi:type="dcterms:W3CDTF">2020-03-05T01:45:00Z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