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1F" w:rsidRDefault="00FF1A1F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1A1F" w:rsidRDefault="00FF1A1F">
      <w:pPr>
        <w:pStyle w:val="ConsPlusNormal"/>
        <w:jc w:val="both"/>
        <w:outlineLvl w:val="0"/>
      </w:pPr>
    </w:p>
    <w:p w:rsidR="00FF1A1F" w:rsidRDefault="00FF1A1F">
      <w:pPr>
        <w:pStyle w:val="ConsPlusTitle"/>
        <w:jc w:val="center"/>
        <w:outlineLvl w:val="0"/>
      </w:pPr>
      <w:r>
        <w:t>АДМИНИСТРАЦИЯ ГОРОДА КРАСНОЯРСКА</w:t>
      </w:r>
    </w:p>
    <w:p w:rsidR="00FF1A1F" w:rsidRDefault="00FF1A1F">
      <w:pPr>
        <w:pStyle w:val="ConsPlusTitle"/>
        <w:jc w:val="both"/>
      </w:pPr>
    </w:p>
    <w:p w:rsidR="00FF1A1F" w:rsidRDefault="00FF1A1F">
      <w:pPr>
        <w:pStyle w:val="ConsPlusTitle"/>
        <w:jc w:val="center"/>
      </w:pPr>
      <w:r>
        <w:t>ПОСТАНОВЛЕНИЕ</w:t>
      </w:r>
    </w:p>
    <w:p w:rsidR="00FF1A1F" w:rsidRDefault="00FF1A1F">
      <w:pPr>
        <w:pStyle w:val="ConsPlusTitle"/>
        <w:jc w:val="center"/>
      </w:pPr>
      <w:r>
        <w:t>от 20 февраля 2019 г. N 99</w:t>
      </w:r>
    </w:p>
    <w:p w:rsidR="00FF1A1F" w:rsidRDefault="00FF1A1F">
      <w:pPr>
        <w:pStyle w:val="ConsPlusTitle"/>
        <w:jc w:val="both"/>
      </w:pPr>
    </w:p>
    <w:p w:rsidR="00FF1A1F" w:rsidRDefault="00FF1A1F">
      <w:pPr>
        <w:pStyle w:val="ConsPlusTitle"/>
        <w:jc w:val="center"/>
      </w:pPr>
      <w:r>
        <w:t>ОБ УТВЕРЖДЕНИИ АРХИТЕКТУРНО-ХУДОЖЕСТВЕННОГО РЕГЛАМЕНТА</w:t>
      </w:r>
    </w:p>
    <w:p w:rsidR="00FF1A1F" w:rsidRDefault="00FF1A1F">
      <w:pPr>
        <w:pStyle w:val="ConsPlusTitle"/>
        <w:jc w:val="center"/>
      </w:pPr>
      <w:r>
        <w:t>АРХИТЕКТУРНО-ХУДОЖЕСТВЕННОЙ ПОДСВЕТКИ ЗДАНИЙ, СТРОЕНИЙ,</w:t>
      </w:r>
    </w:p>
    <w:p w:rsidR="00FF1A1F" w:rsidRDefault="00FF1A1F">
      <w:pPr>
        <w:pStyle w:val="ConsPlusTitle"/>
        <w:jc w:val="center"/>
      </w:pPr>
      <w:r>
        <w:t>СООРУЖЕНИЙ В ГОРОДЕ КРАСНОЯРСКЕ</w:t>
      </w:r>
    </w:p>
    <w:p w:rsidR="00FF1A1F" w:rsidRDefault="00FF1A1F">
      <w:pPr>
        <w:pStyle w:val="ConsPlusNormal"/>
        <w:jc w:val="both"/>
      </w:pPr>
    </w:p>
    <w:p w:rsidR="00FF1A1F" w:rsidRDefault="00FF1A1F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25.06.2013 N В-378 "Об утверждении Правил благоустройства территории города Красноярска", руководствуясь </w:t>
      </w:r>
      <w:hyperlink r:id="rId8">
        <w:r>
          <w:rPr>
            <w:color w:val="0000FF"/>
          </w:rPr>
          <w:t>статьями 41</w:t>
        </w:r>
      </w:hyperlink>
      <w:r>
        <w:t xml:space="preserve">, </w:t>
      </w:r>
      <w:hyperlink r:id="rId9">
        <w:r>
          <w:rPr>
            <w:color w:val="0000FF"/>
          </w:rPr>
          <w:t>58</w:t>
        </w:r>
      </w:hyperlink>
      <w:r>
        <w:t xml:space="preserve">, </w:t>
      </w:r>
      <w:hyperlink r:id="rId10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 xml:space="preserve">1. Утвердить Архитектурно-художественный </w:t>
      </w:r>
      <w:hyperlink w:anchor="P26">
        <w:r>
          <w:rPr>
            <w:color w:val="0000FF"/>
          </w:rPr>
          <w:t>регламент</w:t>
        </w:r>
      </w:hyperlink>
      <w:r>
        <w:t xml:space="preserve"> архитектурно-художественной подсветки зданий, строений, сооружений в городе Красноярске согласно приложению.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FF1A1F" w:rsidRDefault="00FF1A1F">
      <w:pPr>
        <w:pStyle w:val="ConsPlusNormal"/>
        <w:jc w:val="both"/>
      </w:pPr>
    </w:p>
    <w:p w:rsidR="00FF1A1F" w:rsidRDefault="00FF1A1F">
      <w:pPr>
        <w:pStyle w:val="ConsPlusNormal"/>
        <w:jc w:val="right"/>
      </w:pPr>
      <w:r>
        <w:t>Глава города</w:t>
      </w:r>
    </w:p>
    <w:p w:rsidR="00FF1A1F" w:rsidRDefault="00FF1A1F">
      <w:pPr>
        <w:pStyle w:val="ConsPlusNormal"/>
        <w:jc w:val="right"/>
      </w:pPr>
      <w:r>
        <w:t>С.В.ЕРЕМИН</w:t>
      </w:r>
    </w:p>
    <w:p w:rsidR="00FF1A1F" w:rsidRDefault="00FF1A1F">
      <w:pPr>
        <w:pStyle w:val="ConsPlusNormal"/>
        <w:jc w:val="both"/>
      </w:pPr>
    </w:p>
    <w:p w:rsidR="00FF1A1F" w:rsidRDefault="00FF1A1F">
      <w:pPr>
        <w:pStyle w:val="ConsPlusNormal"/>
        <w:jc w:val="both"/>
      </w:pPr>
    </w:p>
    <w:p w:rsidR="00FF1A1F" w:rsidRDefault="00FF1A1F">
      <w:pPr>
        <w:pStyle w:val="ConsPlusNormal"/>
        <w:jc w:val="both"/>
      </w:pPr>
    </w:p>
    <w:p w:rsidR="00FF1A1F" w:rsidRDefault="00FF1A1F">
      <w:pPr>
        <w:pStyle w:val="ConsPlusNormal"/>
        <w:jc w:val="both"/>
      </w:pPr>
    </w:p>
    <w:p w:rsidR="00FF1A1F" w:rsidRDefault="00FF1A1F">
      <w:pPr>
        <w:pStyle w:val="ConsPlusNormal"/>
        <w:jc w:val="both"/>
      </w:pPr>
    </w:p>
    <w:p w:rsidR="00FF1A1F" w:rsidRDefault="00FF1A1F">
      <w:pPr>
        <w:pStyle w:val="ConsPlusNormal"/>
        <w:jc w:val="right"/>
        <w:outlineLvl w:val="0"/>
      </w:pPr>
      <w:r>
        <w:t>Приложение</w:t>
      </w:r>
    </w:p>
    <w:p w:rsidR="00FF1A1F" w:rsidRDefault="00FF1A1F">
      <w:pPr>
        <w:pStyle w:val="ConsPlusNormal"/>
        <w:jc w:val="right"/>
      </w:pPr>
      <w:r>
        <w:t>к Постановлению</w:t>
      </w:r>
    </w:p>
    <w:p w:rsidR="00FF1A1F" w:rsidRDefault="00FF1A1F">
      <w:pPr>
        <w:pStyle w:val="ConsPlusNormal"/>
        <w:jc w:val="right"/>
      </w:pPr>
      <w:r>
        <w:t>администрации города</w:t>
      </w:r>
    </w:p>
    <w:p w:rsidR="00FF1A1F" w:rsidRDefault="00FF1A1F">
      <w:pPr>
        <w:pStyle w:val="ConsPlusNormal"/>
        <w:jc w:val="right"/>
      </w:pPr>
      <w:r>
        <w:t>от 20 февраля 2019 г. N 99</w:t>
      </w:r>
    </w:p>
    <w:p w:rsidR="00FF1A1F" w:rsidRDefault="00FF1A1F">
      <w:pPr>
        <w:pStyle w:val="ConsPlusNormal"/>
        <w:jc w:val="both"/>
      </w:pPr>
    </w:p>
    <w:p w:rsidR="00FF1A1F" w:rsidRDefault="00FF1A1F">
      <w:pPr>
        <w:pStyle w:val="ConsPlusTitle"/>
        <w:jc w:val="center"/>
      </w:pPr>
      <w:bookmarkStart w:id="0" w:name="P26"/>
      <w:bookmarkEnd w:id="0"/>
      <w:r>
        <w:t>АРХИТЕКТУРНО-ХУДОЖЕСТВЕННЫЙ РЕГЛАМЕНТ</w:t>
      </w:r>
    </w:p>
    <w:p w:rsidR="00FF1A1F" w:rsidRDefault="00FF1A1F">
      <w:pPr>
        <w:pStyle w:val="ConsPlusTitle"/>
        <w:jc w:val="center"/>
      </w:pPr>
      <w:r>
        <w:t>АРХИТЕКТУРНО-ХУДОЖЕСТВЕННОЙ ПОДСВЕТКИ ЗДАНИЙ, СТРОЕНИЙ,</w:t>
      </w:r>
    </w:p>
    <w:p w:rsidR="00FF1A1F" w:rsidRDefault="00FF1A1F">
      <w:pPr>
        <w:pStyle w:val="ConsPlusTitle"/>
        <w:jc w:val="center"/>
      </w:pPr>
      <w:r>
        <w:t>СООРУЖЕНИЙ В ГОРОДЕ КРАСНОЯРСКЕ</w:t>
      </w:r>
    </w:p>
    <w:p w:rsidR="00FF1A1F" w:rsidRDefault="00FF1A1F">
      <w:pPr>
        <w:pStyle w:val="ConsPlusNormal"/>
        <w:jc w:val="both"/>
      </w:pPr>
    </w:p>
    <w:p w:rsidR="00FF1A1F" w:rsidRDefault="00FF1A1F">
      <w:pPr>
        <w:pStyle w:val="ConsPlusNormal"/>
        <w:ind w:firstLine="540"/>
        <w:jc w:val="both"/>
      </w:pPr>
      <w:r>
        <w:t>1. Архитектурно-художественный регламент архитектурно-художественной подсветки зданий, строений, сооружений в городе Красноярске (далее - Регламент) содержит требования к оформлению и внешнему виду архитектурно-художественной подсветки зданий, строений, сооружений города в вечерне-ночное время.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2. Настоящий Регламент является обязательным для исполнения всеми индивидуальными предпринимателями, физическими и юридическими лицами независимо от организационно-правовой формы юридических лиц.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3. В целях настоящего Регламента понятия и термины используются в следующих значениях: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вечерне-ночное время - время работы средств освещения в соответствии с утвержденным графиком уличного освещения;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светоцветовая среда города - среда, образованная в вечерне-ночное время освещенными территориями и зданиями, строениями, сооружениями, оборудованными архитектурно-художественной подсветкой, цветом света средств освещения и подсветки, их отражениями от водных и иных поверхностей;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светоцветовое пространство: городские виды, панорамы - светоцветовая среда определенной территории или здания, строения, сооружения, зрительно воспринимаемая человеком с точек обзора;</w:t>
      </w:r>
    </w:p>
    <w:p w:rsidR="00FF1A1F" w:rsidRDefault="00FF1A1F">
      <w:pPr>
        <w:pStyle w:val="ConsPlusNormal"/>
        <w:spacing w:before="200"/>
        <w:ind w:firstLine="540"/>
        <w:jc w:val="both"/>
      </w:pPr>
      <w:proofErr w:type="spellStart"/>
      <w:r>
        <w:lastRenderedPageBreak/>
        <w:t>светодинамический</w:t>
      </w:r>
      <w:proofErr w:type="spellEnd"/>
      <w:r>
        <w:t xml:space="preserve"> участок - территория города, на которой сосредоточено несколько объектов, оборудованных подсветкой с возможностью </w:t>
      </w:r>
      <w:proofErr w:type="spellStart"/>
      <w:r>
        <w:t>светодинамического</w:t>
      </w:r>
      <w:proofErr w:type="spellEnd"/>
      <w:r>
        <w:t xml:space="preserve"> режима, визуально воспринимаемые в виде единого комплекса взаимоувязанных элементов;</w:t>
      </w:r>
    </w:p>
    <w:p w:rsidR="00FF1A1F" w:rsidRDefault="00FF1A1F">
      <w:pPr>
        <w:pStyle w:val="ConsPlusNormal"/>
        <w:spacing w:before="200"/>
        <w:ind w:firstLine="540"/>
        <w:jc w:val="both"/>
      </w:pPr>
      <w:proofErr w:type="gramStart"/>
      <w:r>
        <w:t>доминанта (архитектурная, градостроительная) - здание, группа зданий, ансамбль или сооружение, играющие важную композиционную роль для города;</w:t>
      </w:r>
      <w:proofErr w:type="gramEnd"/>
    </w:p>
    <w:p w:rsidR="00FF1A1F" w:rsidRDefault="00FF1A1F">
      <w:pPr>
        <w:pStyle w:val="ConsPlusNormal"/>
        <w:spacing w:before="200"/>
        <w:ind w:firstLine="540"/>
        <w:jc w:val="both"/>
      </w:pPr>
      <w:r>
        <w:t>световой силуэт города - вид или панорама, образованные освещенными и светящими зданиями, строениями, сооружениями или их комплексами, обозреваемыми на фоне неба в вечерне-ночное время;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архитектурно-художественная подсветка - освещение фасадов зданий, строений, сооружений, произведений монументального искусства для выявления их архитектурно-художественных особенностей и эстетической выразительности;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ландшафтная подсветка - декоративное освещение зеленых насаждений, других элементов ландшафта и благоустройства в парках, скверах, пешеходных зонах с целью проявления их декоративно-художественных особенностей;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декоративная подсветка - художественно-декоративное оформление светом элементов ландшафта, водоемов, фонтанов и малых архитектурных форм, а также участков территорий парков, скверов, набережных, площадей и общественных зданий различного назначения, которое может выполняться с использованием различных светильников, светодиодных гирлянд, сетей, гибкого шнура, лазерных проекторов;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проекционная подсветка - создание 3D-световых изображений на плоскости, поверхности при помощи уличного проектора (проекторов);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функциональное наружное освещение - освещение проезжей части магистралей, тоннелей, эстакад, мостов, улиц, площадей, автостоянок, функциональных зон аэропортов и территорий спортивных сооружений, а также пешеходных путей городских территорий с целью обеспечения безопасного движения автотранспорта и пешеходов;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 xml:space="preserve">световая реклама и информация - рекламные и информационные конструкции с внутренним или внешним подсветом, светодиодные экраны, </w:t>
      </w:r>
      <w:proofErr w:type="spellStart"/>
      <w:r>
        <w:t>медиафасады</w:t>
      </w:r>
      <w:proofErr w:type="spellEnd"/>
      <w:r>
        <w:t>, в том числе знаки городской информации;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иллюминация - праздничное декоративное освещение, оформление, предназначенное только для украшения улиц, площадей, зданий, сооружений и элементов ландшафта без необходимости создания определенного уровня освещенности;</w:t>
      </w:r>
    </w:p>
    <w:p w:rsidR="00FF1A1F" w:rsidRDefault="00FF1A1F">
      <w:pPr>
        <w:pStyle w:val="ConsPlusNormal"/>
        <w:spacing w:before="200"/>
        <w:ind w:firstLine="540"/>
        <w:jc w:val="both"/>
      </w:pPr>
      <w:proofErr w:type="spellStart"/>
      <w:r>
        <w:t>светодинамическая</w:t>
      </w:r>
      <w:proofErr w:type="spellEnd"/>
      <w:r>
        <w:t xml:space="preserve"> подсветка - использование цвета, светоцветовой динамики, </w:t>
      </w:r>
      <w:proofErr w:type="spellStart"/>
      <w:r>
        <w:t>светопроекций</w:t>
      </w:r>
      <w:proofErr w:type="spellEnd"/>
      <w:r>
        <w:t xml:space="preserve"> и создание световых эффектов с помощью лазерных и прожекторных пучков света;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акцентная подсветка - выделение светом (белым или цветным, постоянным или динамичным) отдельных объектов и деталей на менее освещенном фоне;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заливающая подсветка - освещение поверхности объекта или участка местности прожекторами заливающего света, удаленными на расчетное расстояние от объекта, без выделения отдельных его частей;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контурная подсветка - выделение основных архитектурных деталей зданий, строений, сооружений световыми линиями на фоне слабоосвещенных или светящих фасадов. Выполняется с использованием гирлянд, шнуров или линейных светильников;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световая живопись - проекционные многоцветные изображения статического или динамического характера на зданиях, сооружениях, элементах ландшафта, осуществляемые мощными прожекторами.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4. Принципы формирования единой светоцветовой среды города: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1) система световых пространств формируется с учетом назначения и значимости ее элементов, а также условий обзора видов и панорам;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 xml:space="preserve">2) средства и приемы освещения и подсветки должны обеспечивать формирование </w:t>
      </w:r>
      <w:r>
        <w:lastRenderedPageBreak/>
        <w:t>гармоничной и безопасной светоцветовой среды с соблюдением установленных норм.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5. Способы формирования единой светоцветовой среды города: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 xml:space="preserve">1) гармоничное сочетание видов архитектурно-художественной подсветки, использование </w:t>
      </w:r>
      <w:proofErr w:type="spellStart"/>
      <w:r>
        <w:t>светодинамических</w:t>
      </w:r>
      <w:proofErr w:type="spellEnd"/>
      <w:r>
        <w:t xml:space="preserve"> режимов для праздничного и событийного оформления города.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Формирование гармоничной светоцветовой среды обеспечивается: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использованием в общественных пространствах и рекреационных зонах города в освещении, архитектурно-художественной подсветке света белого цвета;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включением объектов архитектурной и композиционной значимости в светоцветовые пространства в качестве акцентов или доминант, формируемых средствами и приемами архитектурно-художественной подсветки и отдельными элементами световой рекламы и информации;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формированием значимых световых видов и панорам, наблюдаемых с определенных точек обзора;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формированием светового силуэта: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архитектурно-художественной подсветкой неосвещенных и корректировкой ряда освещенных силуэтов исторических зданий и современных высотных зданий, строений, сооружений;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применением комплексной архитектурно-художественной подсветки визуально связанных объектов (например, входящих в архитектурный ансамбль общественного пространства (площади, участка проспекта), находящихся на противоположных сторонах перекрестка);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акцентированием верхних частей зданий приемами архитектурно-художественной подсветки и элементами световой рекламы;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акцентированием приемами архитектурно-художественной подсветки пешеходных и транспортных мостов;</w:t>
      </w:r>
      <w:bookmarkStart w:id="1" w:name="_GoBack"/>
      <w:bookmarkEnd w:id="1"/>
    </w:p>
    <w:p w:rsidR="00FF1A1F" w:rsidRDefault="00FF1A1F">
      <w:pPr>
        <w:pStyle w:val="ConsPlusNormal"/>
        <w:spacing w:before="200"/>
        <w:ind w:firstLine="540"/>
        <w:jc w:val="both"/>
      </w:pPr>
      <w:r>
        <w:t>применением систем встроенных светильников в покрытия, лестницы, парапеты и другие элементы благоустройства;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развитием цветных акцентов и композиций с целью внесения элементов красочности и динамичности в городскую среду путем: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формирования цветных композиций, образуемых отдельными элементами световой рекламы и информации, оформленными витринами;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использования цветной художественно-декоративной подсветки элементов рельефа, озеленения, водоемов, фонтанов, малых архитектурных форм, временных сооружений;</w:t>
      </w:r>
    </w:p>
    <w:p w:rsidR="00FF1A1F" w:rsidRDefault="00FF1A1F">
      <w:pPr>
        <w:pStyle w:val="ConsPlusNormal"/>
        <w:spacing w:before="200"/>
        <w:ind w:firstLine="540"/>
        <w:jc w:val="both"/>
      </w:pPr>
      <w:proofErr w:type="gramStart"/>
      <w:r>
        <w:t xml:space="preserve">2) цветовой спектр основного освещения в городе - диапазон от янтарного до нейтрально-белого с возможным использованием многоцветных светодиодных светильников для наиболее активных </w:t>
      </w:r>
      <w:proofErr w:type="spellStart"/>
      <w:r>
        <w:t>светодинамических</w:t>
      </w:r>
      <w:proofErr w:type="spellEnd"/>
      <w:r>
        <w:t xml:space="preserve"> участков;</w:t>
      </w:r>
      <w:proofErr w:type="gramEnd"/>
    </w:p>
    <w:p w:rsidR="00FF1A1F" w:rsidRDefault="00FF1A1F">
      <w:pPr>
        <w:pStyle w:val="ConsPlusNormal"/>
        <w:spacing w:before="200"/>
        <w:ind w:firstLine="540"/>
        <w:jc w:val="both"/>
      </w:pPr>
      <w:r>
        <w:t>3) основное направление света вверх, с целью концентрации внимания на освещаемых объектах и деталях.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6. Требования к оборудованию, применяемому для архитектурно-художественной, декоративной, ландшафтной подсветки.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 xml:space="preserve">Применяемое оборудование должно быть </w:t>
      </w:r>
      <w:proofErr w:type="spellStart"/>
      <w:r>
        <w:t>энергоэффективным</w:t>
      </w:r>
      <w:proofErr w:type="spellEnd"/>
      <w:r>
        <w:t>, компактным и не нарушать внешний облик здания, строения, сооружения. Подсветка зданий, строений, сооружений должна выполняться в полном соответствии с проектной документацией.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 xml:space="preserve">Установка светового оборудования для всех видов подсветки должна обеспечивать </w:t>
      </w:r>
      <w:proofErr w:type="spellStart"/>
      <w:r>
        <w:t>вандалозащищенность</w:t>
      </w:r>
      <w:proofErr w:type="spellEnd"/>
      <w:r>
        <w:t>, электробезопасность, предусматривать обязательное заземление всех световых приборов.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7. Общие требования к выполнению подсветки и освещения общественных пространств.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lastRenderedPageBreak/>
        <w:t>При выполнении функционального освещения, архитектурно-художественной, декоративной, ландшафтной подсветки необходимо подчеркивать целостность пространства с выделением доминант, с созданием фонового и главного планов, выявлять средствами функционального наружного освещения и знаками городской информации с внутренним подсветом функционально-планировочную структуру объекта.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Допускается комбинирование функционального освещения и архитектурно-художественной, декоративной, ландшафтной подсветки, использование опор уличного освещения для подсветки фасадов, деревьев, иных объектов или применения специальных конструкций, одновременно решающих задачи освещения и подсветки (</w:t>
      </w:r>
      <w:proofErr w:type="spellStart"/>
      <w:r>
        <w:t>мультипрожекторные</w:t>
      </w:r>
      <w:proofErr w:type="spellEnd"/>
      <w:r>
        <w:t xml:space="preserve"> системы, многофункциональные опоры освещения с элементами знаков городской информации).</w:t>
      </w:r>
    </w:p>
    <w:p w:rsidR="00FF1A1F" w:rsidRDefault="00FF1A1F">
      <w:pPr>
        <w:pStyle w:val="ConsPlusNormal"/>
        <w:spacing w:before="200"/>
        <w:ind w:firstLine="540"/>
        <w:jc w:val="both"/>
      </w:pPr>
      <w:proofErr w:type="gramStart"/>
      <w:r>
        <w:t>Ландшафтная, декоративная подсветка состоит в акцентирующей подсветке цветников, кроны деревьев, подсветке газонного покрытия, аллей, дорожек, фонтанов, малых архитектурных форм, в том числе с помощью светильников, встраиваемых в конструкцию уличной мебели, в элементы инфраструктуры и благоустройства (покрытия, лестницы, парапеты, перила, ограждающие элементы).</w:t>
      </w:r>
      <w:proofErr w:type="gramEnd"/>
      <w:r>
        <w:t xml:space="preserve"> При ландшафтной, декоративной подсветке допускается применение различных типов и приемов освещения, включая свет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цветодинамическое</w:t>
      </w:r>
      <w:proofErr w:type="spellEnd"/>
      <w:r>
        <w:t>, а также праздничное освещение.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При выполнении подсветки объектов монументального искусства (памятники, монументальные скульптурные композиции, монументы): используется белый цвет различных оттенков (теплый, нейтральный, холодный). Для усиления выразительности локально, в том числе для подсветки прилегающих к памятникам территорий, допускается применение цветного освещения.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 xml:space="preserve">Для архитектурно-художественной подсветки магазинов, торговых центров, спортивных объектов, домов культуры, концертных залов допускается применение любых типов и приемов архитектурного освещения с учетом требований, изложенных в </w:t>
      </w:r>
      <w:hyperlink w:anchor="P86">
        <w:r>
          <w:rPr>
            <w:color w:val="0000FF"/>
          </w:rPr>
          <w:t>пунктах 9</w:t>
        </w:r>
      </w:hyperlink>
      <w:r>
        <w:t xml:space="preserve">, </w:t>
      </w:r>
      <w:hyperlink w:anchor="P91">
        <w:r>
          <w:rPr>
            <w:color w:val="0000FF"/>
          </w:rPr>
          <w:t>10</w:t>
        </w:r>
      </w:hyperlink>
      <w:r>
        <w:t xml:space="preserve"> настоящего Регламента.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При устройстве архитектурно-художественной подсветки многоквартирных жилых домов осветительные приборы размещаются на глухих стенах, лестничных клетках, технических этажах, эксплуатируемой кровле, других нежилых частях, а также фасадах и входах в помещения торгового и иного общественного назначения, расположенные в нежилой части зданий, строений.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 xml:space="preserve">Для зданий и сооружений современной архитектуры, расположенных вне зоны особого городского значения, помимо базовых типов подсветки (заливающая, акцентная, контурная), в праздничном режиме допустима проекционная и </w:t>
      </w:r>
      <w:proofErr w:type="spellStart"/>
      <w:r>
        <w:t>светодинамическая</w:t>
      </w:r>
      <w:proofErr w:type="spellEnd"/>
      <w:r>
        <w:t xml:space="preserve"> подсветка.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8. Общие требования к выполнению подсветки объектов производственного, складского и коммунального назначения.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Архитектурно-художественная подсветка высотных, композиционно значимых зданий, строений, сооружений (производственных корпусов, дымовых труб, мостов, эстакад, путепроводов, опор ЛЭП), предусматривается при условии их включения в световые виды и панорамы в качестве одного из элементов.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Для подсветки инженерных и инженерно-транспортных сооружений возможно применение всех типов и приемов подсветки, отвечающих действующим нормам и правилам.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 xml:space="preserve">При выполнении архитектурно-художественной подсветки объектов промышленной застройки (трубы, электростанции, заводские территории) допускается применение как статической, так и </w:t>
      </w:r>
      <w:proofErr w:type="spellStart"/>
      <w:r>
        <w:t>светодинамической</w:t>
      </w:r>
      <w:proofErr w:type="spellEnd"/>
      <w:r>
        <w:t xml:space="preserve"> или проекционной подсветки с изменением яркости, цвета и тематики изображения, использование световой живописи, элементов световой рекламы, праздничной иллюминации.</w:t>
      </w:r>
    </w:p>
    <w:p w:rsidR="00FF1A1F" w:rsidRDefault="00FF1A1F">
      <w:pPr>
        <w:pStyle w:val="ConsPlusNormal"/>
        <w:spacing w:before="200"/>
        <w:ind w:firstLine="540"/>
        <w:jc w:val="both"/>
      </w:pPr>
      <w:bookmarkStart w:id="2" w:name="P86"/>
      <w:bookmarkEnd w:id="2"/>
      <w:r>
        <w:t>9. Общие требования к освещению, архитектурно-художественной, декоративной, ландшафтной подсветке в зоне особого городского значения.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При устройстве наружного освещения, проведении капитального ремонта наружного освещения в зоне особого городского значения необходимо предусматривать прокладку сетей подземным способом.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 xml:space="preserve">Для культовых зданий, строений, сооружений применяется заливающая подсветка с </w:t>
      </w:r>
      <w:r>
        <w:lastRenderedPageBreak/>
        <w:t>акцентным выделением верхних частей (куполов, шпилей, полумесяцев).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Подсветка объектов культурного наследия (памятников истории и культуры) народов Российской Федерации (далее - объекты культурного наследия)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Федерации. Для объектов культурного наследия может применяться заливающая, акцентная или комбинированная подсветка.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На объектах культурного наследия и зданиях ранее 1953 года постройки должен применяться скрытый характер установки светильников и размещения электропроводки либо корпус светильников и электропроводки должен быть окрашен в цвет фасада.</w:t>
      </w:r>
    </w:p>
    <w:p w:rsidR="00FF1A1F" w:rsidRDefault="00FF1A1F">
      <w:pPr>
        <w:pStyle w:val="ConsPlusNormal"/>
        <w:spacing w:before="200"/>
        <w:ind w:firstLine="540"/>
        <w:jc w:val="both"/>
      </w:pPr>
      <w:bookmarkStart w:id="3" w:name="P91"/>
      <w:bookmarkEnd w:id="3"/>
      <w:r>
        <w:t>10. В целях создания единой светоцветовой среды города Красноярска не допускается: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1) использование средств функционального освещения с холодной световой температурой (более 3000 К) в зоне особого городского значения;</w:t>
      </w:r>
    </w:p>
    <w:p w:rsidR="00FF1A1F" w:rsidRDefault="00FF1A1F">
      <w:pPr>
        <w:pStyle w:val="ConsPlusNormal"/>
        <w:spacing w:before="200"/>
        <w:ind w:firstLine="540"/>
        <w:jc w:val="both"/>
      </w:pPr>
      <w:proofErr w:type="gramStart"/>
      <w:r>
        <w:t xml:space="preserve">2) в границах улиц Профсоюзов - Красная площадь - Карла Маркса - </w:t>
      </w:r>
      <w:proofErr w:type="spellStart"/>
      <w:r>
        <w:t>Каратанова</w:t>
      </w:r>
      <w:proofErr w:type="spellEnd"/>
      <w:r>
        <w:t xml:space="preserve"> - Ленина (проспект Мира - на всем протяжении) для архитектурно-художественной подсветки зданий, строений - использование контурной, цветной подсветки, </w:t>
      </w:r>
      <w:proofErr w:type="spellStart"/>
      <w:r>
        <w:t>светодинамических</w:t>
      </w:r>
      <w:proofErr w:type="spellEnd"/>
      <w:r>
        <w:t xml:space="preserve"> эффектов (за исключением праздничного режима);</w:t>
      </w:r>
      <w:proofErr w:type="gramEnd"/>
    </w:p>
    <w:p w:rsidR="00FF1A1F" w:rsidRDefault="00FF1A1F">
      <w:pPr>
        <w:pStyle w:val="ConsPlusNormal"/>
        <w:spacing w:before="200"/>
        <w:ind w:firstLine="540"/>
        <w:jc w:val="both"/>
      </w:pPr>
      <w:r>
        <w:t>3) превышение яркости освещенных фасадов зданий, не имеющих исторической или художественной ценности, по сравнению с яркостью фасадов объектов культурного наследия и объектов исторической застройки (здания, построенные ранее 1953 года);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 xml:space="preserve">4) использование контурной, цветной и </w:t>
      </w:r>
      <w:proofErr w:type="spellStart"/>
      <w:r>
        <w:t>светодинамической</w:t>
      </w:r>
      <w:proofErr w:type="spellEnd"/>
      <w:r>
        <w:t xml:space="preserve"> подсветки на объектах культурного наследия и зданиях, построенных ранее 1953 года;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 xml:space="preserve">5) освещение частей зданий, строений, сооружений (колонна, карниз, пилон, консоль, участки фасада) без учета композиционного </w:t>
      </w:r>
      <w:proofErr w:type="gramStart"/>
      <w:r>
        <w:t>архитектурного решения</w:t>
      </w:r>
      <w:proofErr w:type="gramEnd"/>
      <w:r>
        <w:t xml:space="preserve"> либо при полном отсутствии подсветки на участках фасада между указанными элементами;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6) использование световой рекламы и информации, подсветки витрин, ведущее к подавлению светом, цветом и рисунком архитектурных особенностей зданий и исключающее здания из зрительного восприятия световых композиций либо ведущее к освещению частей зданий, строений, сооружений без учета композиционного архитектурного решения;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7) ориентация выходных отверстий прожекторов, допускающая ослепление наблюдателей;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8) изменение цветности ламп в процессе эксплуатации при использовании для архитектурно-художественной подсветки зданий, строений, сооружений;</w:t>
      </w:r>
    </w:p>
    <w:p w:rsidR="00FF1A1F" w:rsidRDefault="00FF1A1F">
      <w:pPr>
        <w:pStyle w:val="ConsPlusNormal"/>
        <w:spacing w:before="200"/>
        <w:ind w:firstLine="540"/>
        <w:jc w:val="both"/>
      </w:pPr>
      <w:r>
        <w:t>9) резкое колебание освещенности и яркости, источниками которых являются светодиодные экраны в моменты демонстрации видеороликов со значительным (более 50% от общей площади изображения) содержанием белого фона.</w:t>
      </w:r>
    </w:p>
    <w:p w:rsidR="00FF1A1F" w:rsidRDefault="00FF1A1F">
      <w:pPr>
        <w:pStyle w:val="ConsPlusNormal"/>
        <w:jc w:val="both"/>
      </w:pPr>
    </w:p>
    <w:p w:rsidR="00FF1A1F" w:rsidRDefault="00FF1A1F">
      <w:pPr>
        <w:pStyle w:val="ConsPlusNormal"/>
        <w:jc w:val="both"/>
      </w:pPr>
    </w:p>
    <w:p w:rsidR="00FF1A1F" w:rsidRDefault="00FF1A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7A8" w:rsidRDefault="002D37A8"/>
    <w:sectPr w:rsidR="002D37A8" w:rsidSect="0085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1F"/>
    <w:rsid w:val="002D37A8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A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1A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1A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A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1A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1A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68B1C17A30A0D1894CDB77C51EE04EEE3F6A3B94B99A0662C5A74F35A073484EE90DF39111B2B9C18161B3991ADC982B567622FCD651F52837095u0n2H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68B1C17A30A0D1894CDB77C51EE04EEE3F6A3B9449AA9642C5A74F35A073484EE90DF39111B2B9C1816163591ADC982B567622FCD651F52837095u0n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68B1C17A30A0D1894D3BA6A3DB10BE9E8ADA6B84092FE3A7C5C23AC0A0161C4AE968A7A55172C9A13414F75CFF498C3FE6A6A34D16515u4nE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EE068B1C17A30A0D1894CDB77C51EE04EEE3F6A3B94B99A0662C5A74F35A073484EE90DF39111B2B9C1811163191ADC982B567622FCD651F52837095u0n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068B1C17A30A0D1894CDB77C51EE04EEE3F6A3B94B99A0662C5A74F35A073484EE90DF39111B2B9C1B1E4A60DEAC95C6E5746222CD67174Eu8n3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EA022F-D2B1-4925-9F8D-0705D665B6C7}"/>
</file>

<file path=customXml/itemProps2.xml><?xml version="1.0" encoding="utf-8"?>
<ds:datastoreItem xmlns:ds="http://schemas.openxmlformats.org/officeDocument/2006/customXml" ds:itemID="{384E7F42-D444-46B6-86DD-9D276DBCBCE1}"/>
</file>

<file path=customXml/itemProps3.xml><?xml version="1.0" encoding="utf-8"?>
<ds:datastoreItem xmlns:ds="http://schemas.openxmlformats.org/officeDocument/2006/customXml" ds:itemID="{93132181-ADA6-4C69-8AC3-1DCFFC528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Гроо Наталья Николаевна</dc:creator>
  <cp:lastModifiedBy>Гроо Наталья Николаевна</cp:lastModifiedBy>
  <cp:revision>1</cp:revision>
  <dcterms:created xsi:type="dcterms:W3CDTF">2022-08-05T07:39:00Z</dcterms:created>
  <dcterms:modified xsi:type="dcterms:W3CDTF">2022-08-05T07:40:00Z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